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琅琊区质量发展奖励扶持若干规定（修订）</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bookmarkStart w:id="0" w:name="_GoBack"/>
      <w:bookmarkEnd w:id="0"/>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仿宋" w:hAnsi="仿宋" w:eastAsia="仿宋"/>
          <w:szCs w:val="32"/>
        </w:rPr>
      </w:pPr>
    </w:p>
    <w:p>
      <w:pPr>
        <w:spacing w:line="500" w:lineRule="exact"/>
        <w:jc w:val="left"/>
        <w:rPr>
          <w:szCs w:val="32"/>
        </w:rPr>
      </w:pPr>
      <w:r>
        <w:rPr>
          <w:szCs w:val="32"/>
        </w:rPr>
        <w:t>为全面贯彻落实党中央、国务院和省委、省政府关于强化知识产权保护和质量工作的决策，依据《中共滁州市委 滁州市人民政府关于推进质量治理体系和治理能力现代化的实施意见》（滁发〔2020〕12号）和琅琊区委、区政府《关于开展质量提升行动推进质量强区建设的实施意见》（琅发〔2019〕10号）等相关文件精神，围绕质量强区建设目标，切实提高政府质量奖、标准化、商标品牌、知识产权、缺陷产品召回等促进企业质量发展的奖励标准，助推全区社会经济高质量发展，根据</w:t>
      </w:r>
      <w:r>
        <w:rPr>
          <w:rFonts w:hint="eastAsia"/>
          <w:szCs w:val="32"/>
          <w:lang w:val="en-US" w:eastAsia="zh-CN"/>
        </w:rPr>
        <w:t>国家市场监管总局</w:t>
      </w:r>
      <w:r>
        <w:rPr>
          <w:rFonts w:hint="eastAsia" w:ascii="仿宋_GB2312" w:eastAsia="仿宋_GB2312"/>
          <w:sz w:val="32"/>
          <w:szCs w:val="32"/>
        </w:rPr>
        <w:t>《公平竞争审查制度实施细则》（国市监反垄规〔2021〕2号）</w:t>
      </w:r>
      <w:r>
        <w:rPr>
          <w:rFonts w:hint="eastAsia" w:ascii="仿宋_GB2312"/>
          <w:sz w:val="32"/>
          <w:szCs w:val="32"/>
          <w:lang w:eastAsia="zh-CN"/>
        </w:rPr>
        <w:t>、</w:t>
      </w:r>
      <w:r>
        <w:rPr>
          <w:rFonts w:hint="eastAsia"/>
          <w:szCs w:val="32"/>
          <w:lang w:val="en-US" w:eastAsia="zh-CN"/>
        </w:rPr>
        <w:t>安徽省市场监督管理局</w:t>
      </w:r>
      <w:r>
        <w:rPr>
          <w:rFonts w:hint="eastAsia"/>
          <w:szCs w:val="32"/>
          <w:lang w:eastAsia="zh-CN"/>
        </w:rPr>
        <w:t>《</w:t>
      </w:r>
      <w:r>
        <w:rPr>
          <w:rFonts w:hint="eastAsia"/>
          <w:szCs w:val="32"/>
        </w:rPr>
        <w:t>关于开展2023年度皖美品牌示范企业申报推荐工作的通知</w:t>
      </w:r>
      <w:r>
        <w:rPr>
          <w:rFonts w:hint="eastAsia"/>
          <w:szCs w:val="32"/>
          <w:lang w:eastAsia="zh-CN"/>
        </w:rPr>
        <w:t>》（</w:t>
      </w:r>
      <w:r>
        <w:rPr>
          <w:rFonts w:hint="eastAsia" w:ascii="仿宋_GB2312" w:hAnsi="仿宋_GB2312" w:eastAsia="仿宋_GB2312" w:cs="仿宋_GB2312"/>
          <w:sz w:val="32"/>
          <w:szCs w:val="32"/>
        </w:rPr>
        <w:t>皖市监函〔20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367</w:t>
      </w:r>
      <w:r>
        <w:rPr>
          <w:rFonts w:hint="eastAsia" w:ascii="仿宋_GB2312" w:hAnsi="仿宋_GB2312" w:eastAsia="仿宋_GB2312" w:cs="仿宋_GB2312"/>
          <w:sz w:val="32"/>
          <w:szCs w:val="32"/>
        </w:rPr>
        <w:t>号</w:t>
      </w:r>
      <w:r>
        <w:rPr>
          <w:rFonts w:hint="eastAsia"/>
          <w:szCs w:val="32"/>
          <w:lang w:eastAsia="zh-CN"/>
        </w:rPr>
        <w:t>）、</w:t>
      </w:r>
      <w:r>
        <w:rPr>
          <w:rFonts w:hint="eastAsia"/>
          <w:szCs w:val="32"/>
          <w:lang w:val="en-US" w:eastAsia="zh-CN"/>
        </w:rPr>
        <w:t>滁州市质量发展委员会办公室《</w:t>
      </w:r>
      <w:r>
        <w:rPr>
          <w:rFonts w:hint="eastAsia"/>
          <w:szCs w:val="32"/>
        </w:rPr>
        <w:t>关于开展2023年</w:t>
      </w:r>
      <w:r>
        <w:rPr>
          <w:rFonts w:hint="eastAsia"/>
          <w:szCs w:val="32"/>
          <w:lang w:eastAsia="zh-CN"/>
        </w:rPr>
        <w:t>“</w:t>
      </w:r>
      <w:r>
        <w:rPr>
          <w:rFonts w:hint="eastAsia"/>
          <w:szCs w:val="32"/>
        </w:rPr>
        <w:t>皖美品牌示范企业</w:t>
      </w:r>
      <w:r>
        <w:rPr>
          <w:rFonts w:hint="eastAsia"/>
          <w:szCs w:val="32"/>
          <w:lang w:eastAsia="zh-CN"/>
        </w:rPr>
        <w:t>”</w:t>
      </w:r>
      <w:r>
        <w:rPr>
          <w:rFonts w:hint="eastAsia"/>
          <w:szCs w:val="32"/>
        </w:rPr>
        <w:t>申报推荐工作的通知</w:t>
      </w:r>
      <w:r>
        <w:rPr>
          <w:rFonts w:hint="eastAsia"/>
          <w:szCs w:val="32"/>
          <w:lang w:val="en-US" w:eastAsia="zh-CN"/>
        </w:rPr>
        <w:t>》（滁质发办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14</w:t>
      </w:r>
      <w:r>
        <w:rPr>
          <w:rFonts w:hint="eastAsia" w:ascii="仿宋_GB2312" w:hAnsi="仿宋_GB2312" w:eastAsia="仿宋_GB2312" w:cs="仿宋_GB2312"/>
          <w:sz w:val="32"/>
          <w:szCs w:val="32"/>
        </w:rPr>
        <w:t>号</w:t>
      </w:r>
      <w:r>
        <w:rPr>
          <w:rFonts w:hint="eastAsia"/>
          <w:szCs w:val="32"/>
          <w:lang w:eastAsia="zh-CN"/>
        </w:rPr>
        <w:t>）</w:t>
      </w:r>
      <w:r>
        <w:rPr>
          <w:szCs w:val="32"/>
        </w:rPr>
        <w:t>等文件精神，现对《琅琊区质量发展奖励扶持若干</w:t>
      </w:r>
      <w:r>
        <w:rPr>
          <w:rFonts w:hint="eastAsia"/>
          <w:szCs w:val="32"/>
        </w:rPr>
        <w:t>规定》</w:t>
      </w:r>
      <w:r>
        <w:rPr>
          <w:rFonts w:hint="eastAsia"/>
          <w:szCs w:val="32"/>
          <w:lang w:eastAsia="zh-CN"/>
        </w:rPr>
        <w:t>（</w:t>
      </w:r>
      <w:r>
        <w:rPr>
          <w:rFonts w:hint="eastAsia"/>
          <w:szCs w:val="32"/>
          <w:lang w:val="en-US" w:eastAsia="zh-CN"/>
        </w:rPr>
        <w:t>修订</w:t>
      </w:r>
      <w:r>
        <w:rPr>
          <w:rFonts w:hint="eastAsia"/>
          <w:szCs w:val="32"/>
          <w:lang w:eastAsia="zh-CN"/>
        </w:rPr>
        <w:t>）</w:t>
      </w:r>
      <w:r>
        <w:rPr>
          <w:rFonts w:hint="eastAsia"/>
          <w:szCs w:val="32"/>
        </w:rPr>
        <w:t>（</w:t>
      </w:r>
      <w:r>
        <w:rPr>
          <w:szCs w:val="32"/>
        </w:rPr>
        <w:t>滁琅政〔202</w:t>
      </w:r>
      <w:r>
        <w:rPr>
          <w:rFonts w:hint="eastAsia"/>
          <w:szCs w:val="32"/>
          <w:lang w:val="en-US" w:eastAsia="zh-CN"/>
        </w:rPr>
        <w:t>2</w:t>
      </w:r>
      <w:r>
        <w:rPr>
          <w:szCs w:val="32"/>
        </w:rPr>
        <w:t>〕</w:t>
      </w:r>
      <w:r>
        <w:rPr>
          <w:rFonts w:hint="eastAsia"/>
          <w:szCs w:val="32"/>
          <w:lang w:val="en-US" w:eastAsia="zh-CN"/>
        </w:rPr>
        <w:t>79</w:t>
      </w:r>
      <w:r>
        <w:rPr>
          <w:szCs w:val="32"/>
        </w:rPr>
        <w:t>号</w:t>
      </w:r>
      <w:r>
        <w:rPr>
          <w:rFonts w:hint="eastAsia"/>
          <w:szCs w:val="32"/>
        </w:rPr>
        <w:t>）</w:t>
      </w:r>
      <w:r>
        <w:rPr>
          <w:szCs w:val="32"/>
        </w:rPr>
        <w:t>进行修订。</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ascii="黑体" w:hAnsi="黑体" w:eastAsia="黑体" w:cs="宋体"/>
          <w:szCs w:val="32"/>
        </w:rPr>
        <w:t>一、质量品牌</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一）对获得中国驰名商标、国家地理标志证明（集体）商标和国家地理保护产品、安徽省商标品牌示范企业，分别一次性资助50万元、20万元、5万元；对获得“省级专业商标品牌基地”“集体商标”“证明商标”的管理组织团队，分别一次性奖励资助1万元、0.5万元、0.5万元；对新获得马德里商标国际注册证的企业，每件一次性资助0.5万元（不超过2件注册证）。</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（二）对新获得区政府质量奖和提名奖的企业分别给予 10万元、3万元奖励；新获得市政府质量奖的企业给予40万元奖励；新获省政府质量奖组织给予100万元奖励、获奖个人给予20万元奖励；对获得更高级别质量奖项的企业，扶持奖励可“一事一议”。</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szCs w:val="32"/>
        </w:rPr>
      </w:pPr>
      <w:r>
        <w:rPr>
          <w:rFonts w:hint="eastAsia"/>
          <w:szCs w:val="32"/>
        </w:rPr>
        <w:t>（三）对被评定为安徽省制造业高端品牌企业的单位给予 1万元的奖励。</w:t>
      </w:r>
    </w:p>
    <w:p>
      <w:pPr>
        <w:spacing w:line="560" w:lineRule="exact"/>
        <w:ind w:left="100" w:firstLine="639"/>
      </w:pPr>
      <w:r>
        <w:rPr>
          <w:rFonts w:hint="eastAsia" w:eastAsia="仿宋_GB2312" w:cs="Times New Roman"/>
          <w:sz w:val="32"/>
          <w:szCs w:val="32"/>
          <w:u w:val="single"/>
          <w:lang w:eastAsia="zh-CN"/>
        </w:rPr>
        <w:t>（</w:t>
      </w:r>
      <w:r>
        <w:rPr>
          <w:rFonts w:hint="eastAsia" w:eastAsia="仿宋_GB2312" w:cs="Times New Roman"/>
          <w:sz w:val="32"/>
          <w:szCs w:val="32"/>
          <w:u w:val="single"/>
          <w:lang w:val="en-US" w:eastAsia="zh-CN"/>
        </w:rPr>
        <w:t>四</w:t>
      </w:r>
      <w:r>
        <w:rPr>
          <w:rFonts w:hint="eastAsia" w:eastAsia="仿宋_GB2312" w:cs="Times New Roman"/>
          <w:sz w:val="32"/>
          <w:szCs w:val="32"/>
          <w:u w:val="single"/>
          <w:lang w:eastAsia="zh-CN"/>
        </w:rPr>
        <w:t>）</w:t>
      </w:r>
      <w:r>
        <w:rPr>
          <w:rFonts w:hint="eastAsia" w:eastAsia="仿宋_GB2312" w:cs="Times New Roman"/>
          <w:sz w:val="32"/>
          <w:szCs w:val="32"/>
          <w:u w:val="single"/>
          <w:lang w:val="en-US" w:eastAsia="zh-CN"/>
        </w:rPr>
        <w:t>对新获得“皖美品牌示范企业”称号的企业，一次性奖励5万元。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黑体" w:hAnsi="黑体" w:eastAsia="黑体" w:cs="宋体"/>
          <w:szCs w:val="32"/>
        </w:rPr>
      </w:pPr>
      <w:r>
        <w:rPr>
          <w:rFonts w:hint="eastAsia" w:ascii="黑体" w:hAnsi="黑体" w:eastAsia="黑体" w:cs="宋体"/>
          <w:szCs w:val="32"/>
        </w:rPr>
        <w:t>二、标准化</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依据《滁州市人民政府关于全面推进标准化工作的实施意见》（</w:t>
      </w:r>
      <w:r>
        <w:rPr>
          <w:szCs w:val="32"/>
        </w:rPr>
        <w:t>滁</w:t>
      </w:r>
      <w:r>
        <w:rPr>
          <w:rFonts w:hint="eastAsia"/>
          <w:szCs w:val="32"/>
        </w:rPr>
        <w:t>政〔2016〕65号），对主导（在标准“前言”中明示或排序前三位）制修订国家标准、行业标准、安徽省地方标准以及承担国家级或省级标准化项目的企、事业单位给予资助，其中对主导制修订国家标准、行业标准、安徽省地方标准的主体，在标准被批准发布实施后，分别给予30万元、20万元、5万元扶持资金，对承担国家级或省级标准化项目（农业标准化示范区、AA级及以上标准化良好行为企业、服务业标准化试点单位）的主体，在项目通过国家或者省级主管部门考核验收通过后，分别一次性给予10万元、5万元扶持资金。对采用国际标准和国外先进标准组织生产，并获得国际标准证书的企业，每项奖励2万元。扶持、奖励资金由市财政和区财政按5:5比例承担。</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仿宋_GB2312" w:cs="宋体"/>
          <w:szCs w:val="32"/>
        </w:rPr>
      </w:pPr>
      <w:r>
        <w:rPr>
          <w:rFonts w:hint="eastAsia" w:ascii="黑体" w:hAnsi="黑体" w:eastAsia="黑体" w:cs="宋体"/>
          <w:szCs w:val="32"/>
        </w:rPr>
        <w:t>三、管理体系认证</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u w:val="single"/>
        </w:rPr>
      </w:pPr>
      <w:r>
        <w:rPr>
          <w:rFonts w:hint="eastAsia"/>
          <w:szCs w:val="32"/>
          <w:u w:val="single"/>
        </w:rPr>
        <w:t>对首次通过质量、环境或职业健康其中一个管理体系认证或通过三合一认证（质量、环境或职业健康）管理体系认证的企业，给予评审费用30%金额补贴，单项认证最高不超过2万元，三合一认证最高不超过6万。</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仿宋_GB2312" w:cs="宋体"/>
          <w:szCs w:val="32"/>
        </w:rPr>
      </w:pPr>
      <w:r>
        <w:rPr>
          <w:rFonts w:hint="eastAsia" w:ascii="黑体" w:hAnsi="黑体" w:eastAsia="黑体" w:cs="宋体"/>
          <w:szCs w:val="32"/>
        </w:rPr>
        <w:t>四、知识产权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
          <w:color w:val="000000"/>
          <w:sz w:val="28"/>
          <w:szCs w:val="28"/>
        </w:rPr>
      </w:pPr>
      <w:r>
        <w:rPr>
          <w:color w:val="000000"/>
          <w:szCs w:val="32"/>
        </w:rPr>
        <w:t>（一）对新认定的知识产权示范企业、优势企业，国家级分别奖励20万元、10万元，省级分别奖励8万元、5万元。对我区企业通过贯彻“知识产权管理规范”国家标准并获得第三方认证的，报区市场监管部门备案审批后，按照实际费用进行资助，最高不超过5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（二）对新获得中国专利金奖、银奖、优秀奖分别给予50万元、30万元、20万元一次性奖励；对新获得安徽省专利金奖、银奖、优秀奖分别给予15万元、10万元、5万元一次性奖励。</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楷体_GB2312"/>
          <w:color w:val="000000"/>
          <w:szCs w:val="32"/>
        </w:rPr>
      </w:pPr>
      <w:r>
        <w:rPr>
          <w:color w:val="000000"/>
          <w:szCs w:val="32"/>
        </w:rPr>
        <w:t>（三）对新获得授权的中国发明专利，每件给予不高于专利权人所缴纳官方费用50%的资助，最高不超过0.3万元；对年度获得中国发明专利授权达5件以上（含5件）、10件以上（含10件），20件以上（含20件）且维持五年有效期以上的单位给予一次性奖励3万元、5万元、10万元（不含授权前转入）。</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color w:val="000000"/>
          <w:szCs w:val="32"/>
        </w:rPr>
        <w:t>（四）对我区企业通过PCT途径申请获得授权的发明专利，每件给予所缴纳费用50%的资助，最高不超过3万元（不超过2个国家或地区）。</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楷体_GB2312"/>
          <w:color w:val="000000"/>
          <w:szCs w:val="32"/>
        </w:rPr>
      </w:pPr>
      <w:r>
        <w:rPr>
          <w:rFonts w:hint="eastAsia"/>
          <w:color w:val="000000"/>
          <w:szCs w:val="32"/>
        </w:rPr>
        <w:t>（五）对我区开展专利导航、重大经济科技活动知识产权分析评议项目的单位，报区级知识产权主管部门确认，经验收合格后，按照实际费用进行资助，最高不超过20万元、10万元。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color w:val="000000"/>
          <w:szCs w:val="32"/>
          <w:u w:val="single"/>
        </w:rPr>
      </w:pPr>
      <w:r>
        <w:rPr>
          <w:rFonts w:hint="eastAsia"/>
          <w:color w:val="000000"/>
          <w:szCs w:val="32"/>
        </w:rPr>
        <w:t>（六）鼓励高价值发明专利培育。当年新增的高价值发明专利每件奖励1万元；对维持专利权满10年以上的有效国内发明专利每件一次性资助1000元；对我区实施市级高价值发明专利培育工程通过验收的，按照实际费用进行资助，最高不超过30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（七）对我区企业从区外受让至我区范围内且与该企业主营业务相关的高价值有效发明专利，报区市场监督管理局审批备案后，每件给予一次性资助1.3万元（每个企业每年度享受该项资助总额不超过10件）。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楷体_GB2312"/>
          <w:color w:val="000000"/>
          <w:szCs w:val="32"/>
        </w:rPr>
      </w:pPr>
      <w:r>
        <w:rPr>
          <w:rFonts w:hint="eastAsia"/>
          <w:color w:val="000000"/>
          <w:szCs w:val="32"/>
        </w:rPr>
        <w:t>（八）对企业以发明专利权方式质押融资金额单笔达300万元以上（含300万元）、600万元以上（含600万元），每笔给予一次性资助1.5万元、3万元；对市场主体以商标质押方式融资每笔达50万元以上（含50万元）、200万以上（含200万元），每笔给予评估费用及贷款利息等一次性资助0.5万元、1万元；区市场监管局对发明专利、商标质押融资进行意向备案和总量控制，未经审批备案不予资助。</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九）对本区权利人在知识产权案件中胜诉的，根据生效的行政裁决或司法判决等法律文书，按照案件诉讼费、代理费、鉴定费及其它为开展维权活动所支出的必要费用20%的比例给予一次性维权费用资助，国内维权不超过2万元，涉外维权不超过10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楷体_GB2312"/>
          <w:color w:val="000000"/>
          <w:szCs w:val="32"/>
        </w:rPr>
      </w:pPr>
      <w:r>
        <w:rPr>
          <w:rFonts w:hint="eastAsia"/>
          <w:szCs w:val="32"/>
        </w:rPr>
        <w:t>（十）鼓励开放许可。对我区高校院所、企业实施开放许可，</w:t>
      </w:r>
      <w:r>
        <w:rPr>
          <w:rFonts w:hint="eastAsia"/>
          <w:color w:val="000000"/>
          <w:szCs w:val="32"/>
        </w:rPr>
        <w:t>面向中小微企业达成开放专利许可的，每笔给予500元资助，单个专利不超过1500元。</w:t>
      </w:r>
    </w:p>
    <w:p>
      <w:pPr>
        <w:keepNext w:val="0"/>
        <w:keepLines w:val="0"/>
        <w:pageBreakBefore w:val="0"/>
        <w:widowControl w:val="0"/>
        <w:tabs>
          <w:tab w:val="left" w:pos="3407"/>
        </w:tabs>
        <w:kinsoku/>
        <w:wordWrap/>
        <w:overflowPunct/>
        <w:topLinePunct w:val="0"/>
        <w:autoSpaceDE/>
        <w:autoSpaceDN/>
        <w:bidi w:val="0"/>
        <w:adjustRightInd/>
        <w:snapToGrid/>
        <w:spacing w:line="520" w:lineRule="exact"/>
        <w:ind w:left="0" w:firstLine="640" w:firstLineChars="200"/>
        <w:textAlignment w:val="auto"/>
        <w:rPr>
          <w:rFonts w:eastAsia="楷体_GB2312"/>
          <w:color w:val="000000"/>
          <w:szCs w:val="32"/>
        </w:rPr>
      </w:pPr>
      <w:r>
        <w:rPr>
          <w:rFonts w:hint="eastAsia"/>
          <w:color w:val="000000"/>
          <w:szCs w:val="32"/>
        </w:rPr>
        <w:t>（十一）促进知识产权成果转化。对我区高校院所、企业每件专利实施专利许可金额超过20万元以上的，报区市场监督管理局审批备案后，每件给予被许可方一次性资助1万元。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楷体_GB2312"/>
          <w:color w:val="000000"/>
          <w:szCs w:val="32"/>
        </w:rPr>
      </w:pPr>
      <w:r>
        <w:rPr>
          <w:rFonts w:hint="eastAsia"/>
          <w:color w:val="000000"/>
          <w:szCs w:val="32"/>
        </w:rPr>
        <w:t>（十二）对新认定的国家、省知识产权信息公共服务网点，分别给予一次性资助10万元、5万元。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color w:val="000000"/>
          <w:szCs w:val="32"/>
          <w:u w:val="single"/>
        </w:rPr>
      </w:pPr>
      <w:r>
        <w:rPr>
          <w:rFonts w:hint="eastAsia"/>
          <w:color w:val="000000"/>
          <w:szCs w:val="32"/>
        </w:rPr>
        <w:t>（十三）</w:t>
      </w:r>
      <w:r>
        <w:rPr>
          <w:color w:val="000000"/>
          <w:szCs w:val="32"/>
        </w:rPr>
        <w:t>对新获得国家认定的中小学知识产权教育示范、试点学校，分别给予一次性资助10万元、5万元；对</w:t>
      </w:r>
      <w:r>
        <w:rPr>
          <w:rFonts w:hint="eastAsia"/>
          <w:color w:val="000000"/>
          <w:szCs w:val="32"/>
        </w:rPr>
        <w:t>新</w:t>
      </w:r>
      <w:r>
        <w:rPr>
          <w:color w:val="000000"/>
          <w:szCs w:val="32"/>
        </w:rPr>
        <w:t>获得省中小学知识产权教育示范、试点学校，分别</w:t>
      </w:r>
      <w:r>
        <w:rPr>
          <w:rFonts w:hint="eastAsia"/>
          <w:color w:val="000000"/>
          <w:szCs w:val="32"/>
        </w:rPr>
        <w:t>给予</w:t>
      </w:r>
      <w:r>
        <w:rPr>
          <w:color w:val="000000"/>
          <w:szCs w:val="32"/>
        </w:rPr>
        <w:t>一次性资助5万元、2万元</w:t>
      </w:r>
      <w:r>
        <w:rPr>
          <w:rFonts w:hint="eastAsia"/>
          <w:color w:val="000000"/>
          <w:szCs w:val="32"/>
        </w:rPr>
        <w:t>。</w:t>
      </w:r>
    </w:p>
    <w:p>
      <w:pPr>
        <w:keepNext w:val="0"/>
        <w:keepLines w:val="0"/>
        <w:pageBreakBefore w:val="0"/>
        <w:widowControl w:val="0"/>
        <w:tabs>
          <w:tab w:val="left" w:pos="3407"/>
        </w:tabs>
        <w:kinsoku/>
        <w:wordWrap/>
        <w:overflowPunct/>
        <w:topLinePunct w:val="0"/>
        <w:autoSpaceDE/>
        <w:autoSpaceDN/>
        <w:bidi w:val="0"/>
        <w:adjustRightInd/>
        <w:snapToGrid/>
        <w:spacing w:line="520" w:lineRule="exact"/>
        <w:ind w:left="0" w:firstLine="640" w:firstLineChars="200"/>
        <w:textAlignment w:val="auto"/>
        <w:rPr>
          <w:rFonts w:ascii="黑体" w:hAnsi="黑体" w:eastAsia="黑体" w:cs="宋体"/>
          <w:szCs w:val="32"/>
        </w:rPr>
      </w:pPr>
      <w:r>
        <w:rPr>
          <w:rFonts w:hint="eastAsia" w:ascii="黑体" w:hAnsi="黑体" w:eastAsia="黑体" w:cs="宋体"/>
          <w:szCs w:val="32"/>
        </w:rPr>
        <w:t>五、缺陷产品召回</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对在区市场监督管理局监督下，因产品缺陷（不存在质量问题）主动实施召回，并在国家缺陷产品召回管理中心网站发布公告和备案登记的企业，优先推荐参加区以上组织的质量奖项评选；参加区政府质量奖评选可额外加分，不超过总分的5%。</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因产品质量不合格主动实施缺陷产品召回的企业，按照《行政处罚法》和《产品质量法》相关规定从轻、减轻或免除处罚。</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黑体" w:hAnsi="黑体" w:eastAsia="黑体" w:cs="宋体"/>
          <w:szCs w:val="32"/>
        </w:rPr>
      </w:pPr>
      <w:r>
        <w:rPr>
          <w:rFonts w:hint="eastAsia" w:ascii="黑体" w:hAnsi="黑体" w:eastAsia="黑体" w:cs="宋体"/>
          <w:szCs w:val="32"/>
        </w:rPr>
        <w:t>六、相关说明</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楷体_GB2312"/>
          <w:color w:val="000000"/>
          <w:szCs w:val="32"/>
        </w:rPr>
      </w:pPr>
      <w:r>
        <w:rPr>
          <w:rFonts w:hint="eastAsia"/>
          <w:color w:val="000000"/>
          <w:szCs w:val="32"/>
        </w:rPr>
        <w:t>（一）本办法适用于在我区行政区域内注册登记、促进琅琊区经济社会发展的</w:t>
      </w:r>
      <w:r>
        <w:rPr>
          <w:rFonts w:hint="eastAsia" w:ascii="仿宋_GB2312" w:hAnsi="仿宋"/>
          <w:szCs w:val="32"/>
        </w:rPr>
        <w:t>企事业单位、机关团体、</w:t>
      </w:r>
      <w:r>
        <w:rPr>
          <w:rFonts w:hint="eastAsia" w:ascii="仿宋_GB2312"/>
          <w:szCs w:val="32"/>
        </w:rPr>
        <w:t>科研院校和具有本行政区域户籍或居住证的个人</w:t>
      </w:r>
      <w:r>
        <w:rPr>
          <w:rFonts w:hint="eastAsia" w:ascii="仿宋_GB2312" w:hAnsi="仿宋"/>
          <w:szCs w:val="32"/>
        </w:rPr>
        <w:t>，以及在我区从事知识产权活动的相关知识产权代理机构。</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二）申请对象按照要求提供申报材料，按时向区市场监管局提出申请，由区市场监管局受理申请初审后，对符合条件的，提出奖励或补贴意见，报区质量发展委员会审核，并对审核结果予以公示。公示无异议的，报区政府批准兑现。当年不申请的视为自愿放弃，逾期不再受理。</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（三）申报奖励资料必须真实、准确、可靠，对以弄虚作假等方式骗取资助的，予以追回全额资助资金；情节严重的，依法追究相关单位和人员责任，并且 5年内不得申报质量提升扶持政策奖励资金。在本年度发生知识产权违法事件或者存在专利非正常申请以及专利非正常流失的，不得享受知识产权政策。第三方在我区开展本政策涉及的工作，需向区市场监管局报备，接受监督管理，否则不予相应资助。</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四）本规定中的各项奖补金额与省、市政府相关政策相同的，除明确规定再奖励的，按就高不就低原则执行，不重复奖励。本规定中奖补金额高于省、市政策的，采用差额奖补方式。申报单位对同一事项不得多重申报琅琊区其他奖励政策。</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（五）本规定自发布之日起施行，202</w:t>
      </w:r>
      <w:r>
        <w:rPr>
          <w:rFonts w:hint="eastAsia"/>
          <w:szCs w:val="32"/>
          <w:lang w:val="en-US" w:eastAsia="zh-CN"/>
        </w:rPr>
        <w:t>2</w:t>
      </w:r>
      <w:r>
        <w:rPr>
          <w:rFonts w:hint="eastAsia"/>
          <w:szCs w:val="32"/>
        </w:rPr>
        <w:t>年</w:t>
      </w:r>
      <w:r>
        <w:rPr>
          <w:rFonts w:hint="eastAsia"/>
          <w:szCs w:val="32"/>
          <w:lang w:val="en-US" w:eastAsia="zh-CN"/>
        </w:rPr>
        <w:t>12</w:t>
      </w:r>
      <w:r>
        <w:rPr>
          <w:rFonts w:hint="eastAsia"/>
          <w:szCs w:val="32"/>
        </w:rPr>
        <w:t>月印发的</w:t>
      </w:r>
      <w:r>
        <w:rPr>
          <w:szCs w:val="32"/>
        </w:rPr>
        <w:t>《琅琊区</w:t>
      </w:r>
      <w:r>
        <w:rPr>
          <w:rFonts w:hint="eastAsia"/>
          <w:szCs w:val="32"/>
        </w:rPr>
        <w:t>质量发展奖励扶持若干规定</w:t>
      </w:r>
      <w:r>
        <w:rPr>
          <w:szCs w:val="32"/>
        </w:rPr>
        <w:t>》</w:t>
      </w:r>
      <w:r>
        <w:rPr>
          <w:rFonts w:hint="eastAsia"/>
          <w:szCs w:val="32"/>
          <w:lang w:eastAsia="zh-CN"/>
        </w:rPr>
        <w:t>（</w:t>
      </w:r>
      <w:r>
        <w:rPr>
          <w:rFonts w:hint="eastAsia"/>
          <w:szCs w:val="32"/>
          <w:lang w:val="en-US" w:eastAsia="zh-CN"/>
        </w:rPr>
        <w:t>修订</w:t>
      </w:r>
      <w:r>
        <w:rPr>
          <w:rFonts w:hint="eastAsia"/>
          <w:szCs w:val="32"/>
          <w:lang w:eastAsia="zh-CN"/>
        </w:rPr>
        <w:t>）</w:t>
      </w:r>
      <w:r>
        <w:rPr>
          <w:rFonts w:hint="eastAsia" w:ascii="仿宋" w:hAnsi="仿宋" w:eastAsia="仿宋"/>
        </w:rPr>
        <w:t>同时</w:t>
      </w:r>
      <w:r>
        <w:rPr>
          <w:rFonts w:hint="eastAsia" w:ascii="仿宋" w:hAnsi="仿宋" w:eastAsia="仿宋" w:cs="宋体"/>
        </w:rPr>
        <w:t>废止</w:t>
      </w:r>
      <w:r>
        <w:rPr>
          <w:rFonts w:hint="eastAsia"/>
          <w:szCs w:val="32"/>
        </w:rPr>
        <w:t>，首批申报奖补事项从202</w:t>
      </w:r>
      <w:r>
        <w:rPr>
          <w:rFonts w:hint="eastAsia"/>
          <w:szCs w:val="32"/>
          <w:lang w:val="en-US" w:eastAsia="zh-CN"/>
        </w:rPr>
        <w:t>3</w:t>
      </w:r>
      <w:r>
        <w:rPr>
          <w:rFonts w:hint="eastAsia"/>
          <w:szCs w:val="32"/>
        </w:rPr>
        <w:t>年</w:t>
      </w:r>
      <w:r>
        <w:rPr>
          <w:rFonts w:hint="eastAsia"/>
          <w:szCs w:val="32"/>
          <w:lang w:val="en-US" w:eastAsia="zh-CN"/>
        </w:rPr>
        <w:t>11</w:t>
      </w:r>
      <w:r>
        <w:rPr>
          <w:rFonts w:hint="eastAsia"/>
          <w:szCs w:val="32"/>
        </w:rPr>
        <w:t>月1日起算。</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szCs w:val="32"/>
        </w:rPr>
      </w:pPr>
      <w:r>
        <w:rPr>
          <w:rFonts w:hint="eastAsia"/>
          <w:szCs w:val="32"/>
        </w:rPr>
        <w:t>（六）本规定由区质量发展委员会办公室负责解释。</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szCs w:val="32"/>
        </w:rPr>
      </w:pPr>
      <w:r>
        <w:rPr>
          <w:rFonts w:hint="eastAsia"/>
          <w:szCs w:val="32"/>
        </w:rPr>
        <w:t>（七）本办法试行一年，如遇国家、省、市政策调整，本办法随之修订。</w:t>
      </w:r>
    </w:p>
    <w:p>
      <w:pPr>
        <w:pStyle w:val="16"/>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pStyle w:val="1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r>
        <w:rPr>
          <w:rFonts w:hint="eastAsia" w:ascii="Times New Roman" w:hAnsi="Times New Roman" w:eastAsia="仿宋_GB2312" w:cs="Times New Roman"/>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-92710</wp:posOffset>
                </wp:positionH>
                <wp:positionV relativeFrom="paragraph">
                  <wp:posOffset>418465</wp:posOffset>
                </wp:positionV>
                <wp:extent cx="557911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7911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3pt;margin-top:32.95pt;height:0pt;width:439.3pt;z-index:251660288;mso-width-relative:page;mso-height-relative:page;" filled="f" stroked="t" coordsize="21600,21600" o:gfxdata="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MkynNUAAAAJAQAADwAAAAAAAAABACAAAAAiAAAAZHJzL2Rvd25yZXYueG1sUEsB&#10;AhQAFAAAAAgAh07iQMckmmX4AQAA8gMAAA4AAAAAAAAAAQAgAAAAJAEAAGRycy9lMm9Eb2MueG1s&#10;UEsFBgAAAAAGAAYAWQEAAI4FAAAAAA==&#10;">
                <v:fill on="f" focussize="0,0"/>
                <v:stroke weight="0.5pt" color="#000000" joinstyle="round"/>
                <v:imagedata o:title=""/>
                <o:lock v:ext="edit" aspectratio="f"/>
              </v:line>
            </w:pict>
          </mc:Fallback>
        </mc:AlternateContent>
      </w:r>
      <w:r>
        <w:rPr>
          <w:rFonts w:hint="eastAsia" w:ascii="Times New Roman" w:hAnsi="Times New Roman" w:eastAsia="仿宋_GB2312" w:cs="Times New Roman"/>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47625</wp:posOffset>
                </wp:positionV>
                <wp:extent cx="557911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7911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3pt;margin-top:3.75pt;height:0pt;width:439.3pt;z-index:251661312;mso-width-relative:page;mso-height-relative:page;" filled="f" stroked="t" coordsize="21600,21600" o:gfxdata="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HWwS9QAAAAHAQAADwAAAAAAAAABACAAAAAiAAAAZHJzL2Rvd25yZXYueG1sUEsB&#10;AhQAFAAAAAgAh07iQGgQCcf5AQAA8gMAAA4AAAAAAAAAAQAgAAAAIwEAAGRycy9lMm9Eb2MueG1s&#10;UEsFBgAAAAAGAAYAWQEAAI4FAAAAAA==&#10;">
                <v:fill on="f" focussize="0,0"/>
                <v:stroke weight="0.5pt" color="#000000" joinstyle="round"/>
                <v:imagedata o:title=""/>
                <o:lock v:ext="edit" aspectratio="f"/>
              </v:line>
            </w:pict>
          </mc:Fallback>
        </mc:AlternateContent>
      </w:r>
      <w:r>
        <w:rPr>
          <w:rFonts w:hint="eastAsia" w:ascii="Times New Roman" w:hAnsi="Times New Roman" w:eastAsia="仿宋_GB2312" w:cs="Times New Roman"/>
          <w:sz w:val="32"/>
          <w:szCs w:val="32"/>
          <w:lang w:val="en-US" w:eastAsia="zh-CN"/>
        </w:rPr>
        <w:t xml:space="preserve">琅琊区人民政府办公室               </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w:t>
      </w:r>
      <w:r>
        <w:rPr>
          <w:rFonts w:hint="eastAsia" w:ascii="Times New Roman" w:hAnsi="Times New Roman" w:cs="Times New Roman"/>
          <w:sz w:val="32"/>
          <w:szCs w:val="32"/>
          <w:lang w:val="en-US" w:eastAsia="zh-CN"/>
        </w:rPr>
        <w:t>11</w:t>
      </w:r>
      <w:r>
        <w:rPr>
          <w:rFonts w:hint="eastAsia" w:ascii="Times New Roman" w:hAnsi="Times New Roman" w:eastAsia="仿宋_GB2312" w:cs="Times New Roman"/>
          <w:sz w:val="32"/>
          <w:szCs w:val="32"/>
          <w:lang w:val="en-US" w:eastAsia="zh-CN"/>
        </w:rPr>
        <w:t>月</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val="en-US" w:eastAsia="zh-CN"/>
        </w:rPr>
        <w:t>日印</w:t>
      </w:r>
    </w:p>
    <w:sectPr>
      <w:headerReference r:id="rId5" w:type="default"/>
      <w:footerReference r:id="rId6" w:type="default"/>
      <w:pgSz w:w="11906" w:h="16838"/>
      <w:pgMar w:top="2098" w:right="1474" w:bottom="1984" w:left="1587" w:header="851" w:footer="1417"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1B7306-1944-4E4F-820C-4A3291D353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C44E4E5-431F-4420-B801-D635C522C295}"/>
  </w:font>
  <w:font w:name="仿宋_GB2312">
    <w:panose1 w:val="02010609030101010101"/>
    <w:charset w:val="86"/>
    <w:family w:val="modern"/>
    <w:pitch w:val="default"/>
    <w:sig w:usb0="00000001" w:usb1="080E0000" w:usb2="00000000" w:usb3="00000000" w:csb0="00040000" w:csb1="00000000"/>
    <w:embedRegular r:id="rId3" w:fontKey="{2C624EFA-A609-4FD8-A0E4-92ABF85EAAD9}"/>
  </w:font>
  <w:font w:name="楷体_GB2312">
    <w:panose1 w:val="02010609030101010101"/>
    <w:charset w:val="86"/>
    <w:family w:val="modern"/>
    <w:pitch w:val="default"/>
    <w:sig w:usb0="00000001" w:usb1="080E0000" w:usb2="00000000" w:usb3="00000000" w:csb0="00040000" w:csb1="00000000"/>
    <w:embedRegular r:id="rId4" w:fontKey="{1BA984F0-4957-4AC4-9509-46BE2F9FD3DF}"/>
  </w:font>
  <w:font w:name="方正小标宋简体">
    <w:panose1 w:val="03000509000000000000"/>
    <w:charset w:val="86"/>
    <w:family w:val="script"/>
    <w:pitch w:val="default"/>
    <w:sig w:usb0="00000001" w:usb1="080E0000" w:usb2="00000000" w:usb3="00000000" w:csb0="00040000" w:csb1="00000000"/>
    <w:embedRegular r:id="rId5" w:fontKey="{D1AAC9D8-E654-4209-8CB7-5779DAA64A00}"/>
  </w:font>
  <w:font w:name="方正小标宋_GBK">
    <w:altName w:val="微软雅黑"/>
    <w:panose1 w:val="00000000000000000000"/>
    <w:charset w:val="86"/>
    <w:family w:val="auto"/>
    <w:pitch w:val="default"/>
    <w:sig w:usb0="00000000" w:usb1="00000000" w:usb2="00000000" w:usb3="00000000" w:csb0="00040000" w:csb1="00000000"/>
  </w:font>
  <w:font w:name="方正公文小标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6" w:fontKey="{5F1288EB-392C-4490-AA3A-DC443B8CFE5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320" w:right="32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left="320" w:right="320"/>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ind w:left="320" w:right="320"/>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NTU5YjlhN2ZkNjE5NTVkODcxODhkNThkYTVmYTIifQ=="/>
  </w:docVars>
  <w:rsids>
    <w:rsidRoot w:val="432A711C"/>
    <w:rsid w:val="000317B0"/>
    <w:rsid w:val="00063DA7"/>
    <w:rsid w:val="000F281F"/>
    <w:rsid w:val="00135479"/>
    <w:rsid w:val="00167760"/>
    <w:rsid w:val="00183798"/>
    <w:rsid w:val="00197FA3"/>
    <w:rsid w:val="001B43BA"/>
    <w:rsid w:val="002026F4"/>
    <w:rsid w:val="0026601D"/>
    <w:rsid w:val="002B02A4"/>
    <w:rsid w:val="002F15CE"/>
    <w:rsid w:val="00333D0F"/>
    <w:rsid w:val="00376397"/>
    <w:rsid w:val="003B74B8"/>
    <w:rsid w:val="00422B68"/>
    <w:rsid w:val="0046493D"/>
    <w:rsid w:val="004707F0"/>
    <w:rsid w:val="004C7059"/>
    <w:rsid w:val="004F11BE"/>
    <w:rsid w:val="005477EA"/>
    <w:rsid w:val="00550196"/>
    <w:rsid w:val="00590172"/>
    <w:rsid w:val="005C7FDD"/>
    <w:rsid w:val="005E2972"/>
    <w:rsid w:val="00624B9D"/>
    <w:rsid w:val="0062661D"/>
    <w:rsid w:val="00661847"/>
    <w:rsid w:val="00676B48"/>
    <w:rsid w:val="006837C3"/>
    <w:rsid w:val="00690BA5"/>
    <w:rsid w:val="00692430"/>
    <w:rsid w:val="006F6BEC"/>
    <w:rsid w:val="00717CFB"/>
    <w:rsid w:val="00807BF3"/>
    <w:rsid w:val="008405A7"/>
    <w:rsid w:val="00856266"/>
    <w:rsid w:val="0086432A"/>
    <w:rsid w:val="00912FA9"/>
    <w:rsid w:val="00925600"/>
    <w:rsid w:val="009959E6"/>
    <w:rsid w:val="0099693F"/>
    <w:rsid w:val="00A06BE2"/>
    <w:rsid w:val="00A24D73"/>
    <w:rsid w:val="00A32758"/>
    <w:rsid w:val="00A87B40"/>
    <w:rsid w:val="00AE508E"/>
    <w:rsid w:val="00AE7F0B"/>
    <w:rsid w:val="00B500C8"/>
    <w:rsid w:val="00B622EA"/>
    <w:rsid w:val="00B8203E"/>
    <w:rsid w:val="00B940D3"/>
    <w:rsid w:val="00B97370"/>
    <w:rsid w:val="00BC550D"/>
    <w:rsid w:val="00C27C09"/>
    <w:rsid w:val="00C92E7C"/>
    <w:rsid w:val="00CC6BFE"/>
    <w:rsid w:val="00D2190C"/>
    <w:rsid w:val="00D36374"/>
    <w:rsid w:val="00E01EF6"/>
    <w:rsid w:val="00E7778E"/>
    <w:rsid w:val="00E96D2C"/>
    <w:rsid w:val="00F43A1B"/>
    <w:rsid w:val="00F51555"/>
    <w:rsid w:val="00F61D3A"/>
    <w:rsid w:val="00F93E58"/>
    <w:rsid w:val="00F96708"/>
    <w:rsid w:val="00FC7141"/>
    <w:rsid w:val="00FC7D81"/>
    <w:rsid w:val="00FD7DB7"/>
    <w:rsid w:val="019D3A28"/>
    <w:rsid w:val="023D5431"/>
    <w:rsid w:val="03A85C83"/>
    <w:rsid w:val="0452303F"/>
    <w:rsid w:val="0A0C761B"/>
    <w:rsid w:val="0CF11D2A"/>
    <w:rsid w:val="0D0C334B"/>
    <w:rsid w:val="0DAE1B00"/>
    <w:rsid w:val="0EBD4114"/>
    <w:rsid w:val="0F976CA6"/>
    <w:rsid w:val="0FB1302C"/>
    <w:rsid w:val="10ED11BA"/>
    <w:rsid w:val="1161546F"/>
    <w:rsid w:val="12CC0B0E"/>
    <w:rsid w:val="1407233B"/>
    <w:rsid w:val="144B683E"/>
    <w:rsid w:val="150D7916"/>
    <w:rsid w:val="16303F06"/>
    <w:rsid w:val="18B8679B"/>
    <w:rsid w:val="19C552B2"/>
    <w:rsid w:val="1ACE6EC0"/>
    <w:rsid w:val="1B6A27AD"/>
    <w:rsid w:val="1D6C0D0E"/>
    <w:rsid w:val="1EBA64FA"/>
    <w:rsid w:val="20AC5A03"/>
    <w:rsid w:val="211333A3"/>
    <w:rsid w:val="21E5061E"/>
    <w:rsid w:val="223A431B"/>
    <w:rsid w:val="242E158C"/>
    <w:rsid w:val="24885274"/>
    <w:rsid w:val="258D0D25"/>
    <w:rsid w:val="280C61B2"/>
    <w:rsid w:val="29772D8A"/>
    <w:rsid w:val="2B9C471B"/>
    <w:rsid w:val="2DAF68F4"/>
    <w:rsid w:val="308A4FE9"/>
    <w:rsid w:val="3117305F"/>
    <w:rsid w:val="31AF7954"/>
    <w:rsid w:val="353B7D28"/>
    <w:rsid w:val="39370661"/>
    <w:rsid w:val="3CAF621C"/>
    <w:rsid w:val="3CB12514"/>
    <w:rsid w:val="3DA62BE8"/>
    <w:rsid w:val="3E3B47CB"/>
    <w:rsid w:val="3F8957A5"/>
    <w:rsid w:val="42126603"/>
    <w:rsid w:val="42E66ED1"/>
    <w:rsid w:val="42E80B68"/>
    <w:rsid w:val="432A711C"/>
    <w:rsid w:val="471149F3"/>
    <w:rsid w:val="47455754"/>
    <w:rsid w:val="47B468FF"/>
    <w:rsid w:val="47BA26E7"/>
    <w:rsid w:val="47D707E5"/>
    <w:rsid w:val="49DE386E"/>
    <w:rsid w:val="4CAB5F69"/>
    <w:rsid w:val="4D3059D3"/>
    <w:rsid w:val="4E2B3E33"/>
    <w:rsid w:val="4E854F5F"/>
    <w:rsid w:val="507A2E82"/>
    <w:rsid w:val="52452982"/>
    <w:rsid w:val="53062496"/>
    <w:rsid w:val="579D4139"/>
    <w:rsid w:val="57A878B3"/>
    <w:rsid w:val="58581F8C"/>
    <w:rsid w:val="59B03825"/>
    <w:rsid w:val="59BE38A4"/>
    <w:rsid w:val="5B2C6CFC"/>
    <w:rsid w:val="5C3D732D"/>
    <w:rsid w:val="5CF0119F"/>
    <w:rsid w:val="5D450380"/>
    <w:rsid w:val="5E221182"/>
    <w:rsid w:val="610B0F36"/>
    <w:rsid w:val="6130498B"/>
    <w:rsid w:val="62121B84"/>
    <w:rsid w:val="637E248F"/>
    <w:rsid w:val="651932CC"/>
    <w:rsid w:val="65D10709"/>
    <w:rsid w:val="688F47A2"/>
    <w:rsid w:val="68EF7CAF"/>
    <w:rsid w:val="69516A77"/>
    <w:rsid w:val="6A7C687C"/>
    <w:rsid w:val="6BD74896"/>
    <w:rsid w:val="6C353BEC"/>
    <w:rsid w:val="6CA52CF2"/>
    <w:rsid w:val="6DFB5D0A"/>
    <w:rsid w:val="6FFE5F86"/>
    <w:rsid w:val="715C5B4C"/>
    <w:rsid w:val="730F36E7"/>
    <w:rsid w:val="74A8740F"/>
    <w:rsid w:val="74EA17B0"/>
    <w:rsid w:val="76035354"/>
    <w:rsid w:val="774D4396"/>
    <w:rsid w:val="77990C63"/>
    <w:rsid w:val="78FE6E1F"/>
    <w:rsid w:val="79DF643D"/>
    <w:rsid w:val="7AEC5FA9"/>
    <w:rsid w:val="7C8A2459"/>
    <w:rsid w:val="7DC94260"/>
    <w:rsid w:val="7DD606BD"/>
    <w:rsid w:val="7E155C38"/>
    <w:rsid w:val="7E730CD2"/>
    <w:rsid w:val="7ED9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0"/>
    <w:qFormat/>
    <w:uiPriority w:val="0"/>
    <w:pPr>
      <w:ind w:firstLine="880"/>
      <w:outlineLvl w:val="0"/>
    </w:pPr>
    <w:rPr>
      <w:rFonts w:eastAsia="黑体"/>
      <w:bCs/>
      <w:kern w:val="32"/>
      <w:szCs w:val="48"/>
    </w:rPr>
  </w:style>
  <w:style w:type="paragraph" w:styleId="3">
    <w:name w:val="heading 2"/>
    <w:basedOn w:val="1"/>
    <w:next w:val="1"/>
    <w:unhideWhenUsed/>
    <w:qFormat/>
    <w:uiPriority w:val="0"/>
    <w:pPr>
      <w:jc w:val="left"/>
      <w:outlineLvl w:val="1"/>
    </w:pPr>
    <w:rPr>
      <w:rFonts w:eastAsia="楷体_GB2312"/>
    </w:rPr>
  </w:style>
  <w:style w:type="paragraph" w:styleId="4">
    <w:name w:val="heading 3"/>
    <w:basedOn w:val="1"/>
    <w:next w:val="1"/>
    <w:semiHidden/>
    <w:unhideWhenUsed/>
    <w:qFormat/>
    <w:uiPriority w:val="0"/>
    <w:pPr>
      <w:keepNext/>
      <w:keepLines/>
      <w:outlineLvl w:val="2"/>
    </w:pPr>
    <w:rPr>
      <w:b/>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qFormat/>
    <w:uiPriority w:val="0"/>
    <w:pPr>
      <w:snapToGrid w:val="0"/>
      <w:spacing w:line="360" w:lineRule="auto"/>
      <w:ind w:left="800" w:leftChars="800" w:firstLine="200" w:firstLineChars="200"/>
    </w:pPr>
    <w:rPr>
      <w:sz w:val="28"/>
    </w:rPr>
  </w:style>
  <w:style w:type="paragraph" w:styleId="6">
    <w:name w:val="annotation text"/>
    <w:basedOn w:val="1"/>
    <w:link w:val="27"/>
    <w:qFormat/>
    <w:uiPriority w:val="0"/>
    <w:pPr>
      <w:adjustRightInd w:val="0"/>
      <w:snapToGrid w:val="0"/>
      <w:spacing w:line="280" w:lineRule="exact"/>
      <w:jc w:val="left"/>
    </w:pPr>
    <w:rPr>
      <w:rFonts w:ascii="仿宋_GB2312" w:hAnsi="仿宋_GB2312"/>
      <w:sz w:val="28"/>
    </w:rPr>
  </w:style>
  <w:style w:type="paragraph" w:styleId="7">
    <w:name w:val="Body Text"/>
    <w:basedOn w:val="1"/>
    <w:qFormat/>
    <w:uiPriority w:val="0"/>
  </w:style>
  <w:style w:type="paragraph" w:styleId="8">
    <w:name w:val="Body Text Indent"/>
    <w:basedOn w:val="1"/>
    <w:next w:val="9"/>
    <w:qFormat/>
    <w:uiPriority w:val="0"/>
    <w:pPr>
      <w:ind w:firstLine="180"/>
    </w:pPr>
    <w:rPr>
      <w:rFonts w:ascii="方正小标宋简体" w:hAnsi="宋体" w:eastAsia="方正小标宋简体"/>
      <w:kern w:val="0"/>
      <w:sz w:val="44"/>
      <w:szCs w:val="28"/>
    </w:rPr>
  </w:style>
  <w:style w:type="paragraph" w:styleId="9">
    <w:name w:val="envelope return"/>
    <w:basedOn w:val="1"/>
    <w:qFormat/>
    <w:uiPriority w:val="0"/>
    <w:pPr>
      <w:snapToGrid w:val="0"/>
    </w:pPr>
    <w:rPr>
      <w:rFonts w:ascii="Arial" w:hAnsi="Arial"/>
    </w:rPr>
  </w:style>
  <w:style w:type="paragraph" w:styleId="10">
    <w:name w:val="Body Text Indent 2"/>
    <w:basedOn w:val="1"/>
    <w:next w:val="1"/>
    <w:qFormat/>
    <w:uiPriority w:val="99"/>
    <w:pPr>
      <w:ind w:firstLine="480" w:firstLineChars="200"/>
    </w:pPr>
    <w:rPr>
      <w:rFonts w:ascii="仿宋_GB2312" w:hAnsi="Times New Roman" w:eastAsia="仿宋_GB2312"/>
      <w:sz w:val="24"/>
      <w:szCs w:val="21"/>
    </w:rPr>
  </w:style>
  <w:style w:type="paragraph" w:styleId="11">
    <w:name w:val="footer"/>
    <w:basedOn w:val="1"/>
    <w:link w:val="26"/>
    <w:qFormat/>
    <w:uiPriority w:val="0"/>
    <w:pPr>
      <w:tabs>
        <w:tab w:val="center" w:pos="4153"/>
        <w:tab w:val="right" w:pos="8306"/>
      </w:tabs>
      <w:snapToGrid w:val="0"/>
      <w:ind w:left="316" w:leftChars="100" w:right="316" w:rightChars="100" w:firstLine="0" w:firstLineChars="0"/>
      <w:jc w:val="left"/>
    </w:pPr>
    <w:rPr>
      <w:rFonts w:ascii="仿宋_GB2312" w:hAnsi="仿宋_GB2312" w:cstheme="minorBidi"/>
      <w:sz w:val="28"/>
      <w:szCs w:val="18"/>
    </w:rPr>
  </w:style>
  <w:style w:type="paragraph" w:styleId="12">
    <w:name w:val="header"/>
    <w:basedOn w:val="1"/>
    <w:qFormat/>
    <w:uiPriority w:val="0"/>
    <w:pPr>
      <w:tabs>
        <w:tab w:val="center" w:pos="4153"/>
        <w:tab w:val="right" w:pos="8306"/>
      </w:tabs>
      <w:snapToGrid w:val="0"/>
      <w:jc w:val="center"/>
    </w:pPr>
    <w:rPr>
      <w:sz w:val="18"/>
    </w:rPr>
  </w:style>
  <w:style w:type="paragraph" w:styleId="13">
    <w:name w:val="footnote text"/>
    <w:basedOn w:val="1"/>
    <w:next w:val="5"/>
    <w:qFormat/>
    <w:uiPriority w:val="0"/>
    <w:pPr>
      <w:snapToGrid w:val="0"/>
      <w:spacing w:line="360" w:lineRule="auto"/>
      <w:ind w:firstLine="200" w:firstLineChars="200"/>
      <w:jc w:val="left"/>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21"/>
    <w:qFormat/>
    <w:uiPriority w:val="0"/>
    <w:pPr>
      <w:spacing w:beforeLines="200" w:afterLines="100"/>
      <w:ind w:firstLine="0" w:firstLineChars="0"/>
      <w:jc w:val="center"/>
      <w:outlineLvl w:val="0"/>
    </w:pPr>
    <w:rPr>
      <w:rFonts w:ascii="方正小标宋_GBK" w:hAnsi="方正小标宋_GBK" w:eastAsia="方正公文小标宋" w:cstheme="majorBidi"/>
      <w:sz w:val="44"/>
      <w:szCs w:val="32"/>
    </w:rPr>
  </w:style>
  <w:style w:type="paragraph" w:styleId="16">
    <w:name w:val="Body Text First Indent 2"/>
    <w:basedOn w:val="8"/>
    <w:next w:val="1"/>
    <w:qFormat/>
    <w:uiPriority w:val="0"/>
    <w:pPr>
      <w:spacing w:line="360" w:lineRule="auto"/>
      <w:ind w:firstLine="200" w:firstLineChars="200"/>
    </w:pPr>
    <w:rPr>
      <w:rFonts w:ascii="宋体"/>
    </w:rPr>
  </w:style>
  <w:style w:type="character" w:styleId="19">
    <w:name w:val="page number"/>
    <w:basedOn w:val="18"/>
    <w:qFormat/>
    <w:uiPriority w:val="99"/>
  </w:style>
  <w:style w:type="character" w:customStyle="1" w:styleId="20">
    <w:name w:val="标题 1 Char"/>
    <w:link w:val="2"/>
    <w:qFormat/>
    <w:uiPriority w:val="0"/>
    <w:rPr>
      <w:rFonts w:hint="eastAsia" w:ascii="Times New Roman" w:hAnsi="Times New Roman" w:eastAsia="黑体" w:cs="黑体"/>
      <w:kern w:val="32"/>
      <w:sz w:val="32"/>
      <w:szCs w:val="32"/>
      <w:lang w:eastAsia="zh-CN"/>
    </w:rPr>
  </w:style>
  <w:style w:type="character" w:customStyle="1" w:styleId="21">
    <w:name w:val="标题 Char"/>
    <w:basedOn w:val="18"/>
    <w:link w:val="15"/>
    <w:qFormat/>
    <w:uiPriority w:val="1"/>
    <w:rPr>
      <w:rFonts w:ascii="方正小标宋_GBK" w:hAnsi="方正小标宋_GBK" w:eastAsia="方正公文小标宋" w:cstheme="majorBidi"/>
      <w:kern w:val="2"/>
      <w:sz w:val="44"/>
      <w:szCs w:val="32"/>
    </w:rPr>
  </w:style>
  <w:style w:type="paragraph" w:customStyle="1" w:styleId="22">
    <w:name w:val="成文日期"/>
    <w:basedOn w:val="1"/>
    <w:next w:val="1"/>
    <w:qFormat/>
    <w:uiPriority w:val="0"/>
    <w:pPr>
      <w:ind w:right="1280" w:rightChars="400"/>
      <w:jc w:val="right"/>
    </w:pPr>
  </w:style>
  <w:style w:type="paragraph" w:customStyle="1" w:styleId="23">
    <w:name w:val="发文机关署名"/>
    <w:basedOn w:val="22"/>
    <w:next w:val="22"/>
    <w:qFormat/>
    <w:uiPriority w:val="0"/>
    <w:pPr>
      <w:jc w:val="center"/>
    </w:pPr>
  </w:style>
  <w:style w:type="paragraph" w:customStyle="1" w:styleId="24">
    <w:name w:val="主送机关"/>
    <w:basedOn w:val="1"/>
    <w:next w:val="1"/>
    <w:qFormat/>
    <w:uiPriority w:val="0"/>
    <w:pPr>
      <w:widowControl/>
      <w:ind w:firstLine="0" w:firstLineChars="0"/>
      <w:jc w:val="left"/>
    </w:pPr>
    <w:rPr>
      <w:rFonts w:ascii="仿宋_GB2312" w:hAnsi="仿宋_GB2312"/>
      <w:color w:val="000000"/>
      <w:kern w:val="0"/>
      <w:szCs w:val="32"/>
    </w:rPr>
  </w:style>
  <w:style w:type="paragraph" w:customStyle="1" w:styleId="25">
    <w:name w:val="发文字号"/>
    <w:basedOn w:val="1"/>
    <w:next w:val="24"/>
    <w:qFormat/>
    <w:uiPriority w:val="0"/>
    <w:pPr>
      <w:spacing w:afterLines="100"/>
      <w:ind w:firstLine="0" w:firstLineChars="0"/>
      <w:jc w:val="center"/>
      <w:outlineLvl w:val="0"/>
    </w:pPr>
    <w:rPr>
      <w:rFonts w:ascii="仿宋_GB2312" w:hAnsi="仿宋_GB2312" w:cs="仿宋_GB2312"/>
      <w:color w:val="000000"/>
      <w:szCs w:val="32"/>
    </w:rPr>
  </w:style>
  <w:style w:type="character" w:customStyle="1" w:styleId="26">
    <w:name w:val="页脚 Char"/>
    <w:basedOn w:val="18"/>
    <w:link w:val="11"/>
    <w:qFormat/>
    <w:uiPriority w:val="99"/>
    <w:rPr>
      <w:rFonts w:ascii="仿宋_GB2312" w:hAnsi="仿宋_GB2312" w:eastAsia="仿宋_GB2312" w:cstheme="minorBidi"/>
      <w:sz w:val="28"/>
      <w:szCs w:val="18"/>
    </w:rPr>
  </w:style>
  <w:style w:type="character" w:customStyle="1" w:styleId="27">
    <w:name w:val="批注文字 Char"/>
    <w:basedOn w:val="18"/>
    <w:link w:val="6"/>
    <w:qFormat/>
    <w:uiPriority w:val="0"/>
    <w:rPr>
      <w:rFonts w:ascii="仿宋_GB2312" w:hAnsi="仿宋_GB2312" w:eastAsia="仿宋_GB2312" w:cs="Times New Roman"/>
      <w:kern w:val="2"/>
      <w:sz w:val="28"/>
    </w:rPr>
  </w:style>
  <w:style w:type="paragraph" w:customStyle="1" w:styleId="28">
    <w:name w:val="p18"/>
    <w:basedOn w:val="1"/>
    <w:qFormat/>
    <w:uiPriority w:val="0"/>
    <w:pPr>
      <w:widowControl/>
      <w:spacing w:line="240" w:lineRule="auto"/>
      <w:ind w:firstLine="0" w:firstLineChars="0"/>
    </w:pPr>
    <w:rPr>
      <w:rFonts w:ascii="宋体" w:hAnsi="宋体" w:eastAsia="宋体" w:cs="宋体"/>
      <w:kern w:val="0"/>
      <w:sz w:val="21"/>
      <w:szCs w:val="21"/>
    </w:rPr>
  </w:style>
  <w:style w:type="paragraph" w:customStyle="1" w:styleId="29">
    <w:name w:val="正文1"/>
    <w:qFormat/>
    <w:uiPriority w:val="0"/>
    <w:pPr>
      <w:widowControl w:val="0"/>
      <w:jc w:val="both"/>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3197</Words>
  <Characters>3310</Characters>
  <Lines>23</Lines>
  <Paragraphs>6</Paragraphs>
  <TotalTime>310</TotalTime>
  <ScaleCrop>false</ScaleCrop>
  <LinksUpToDate>false</LinksUpToDate>
  <CharactersWithSpaces>3314</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2022-05-31T06:10:00Z</dcterms:created>
  <dc:creator>林明政</dc:creator>
  <cp:lastModifiedBy>村长</cp:lastModifiedBy>
  <cp:lastPrinted>2022-07-04T07:46:00Z</cp:lastPrinted>
  <dcterms:modified xsi:type="dcterms:W3CDTF">2023-11-13T08:25:24Z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C03C870828704DCFA28E744B482AFE89_13</vt:lpwstr>
  </property>
</Properties>
</file>