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9" w:type="pct"/>
        <w:tblBorders>
          <w:top w:val="single" w:sz="6" w:space="0" w:color="333333"/>
          <w:left w:val="single" w:sz="6" w:space="0" w:color="333333"/>
          <w:bottom w:val="single" w:sz="8" w:space="0" w:color="auto"/>
          <w:right w:val="single" w:sz="6" w:space="0" w:color="333333"/>
          <w:insideH w:val="single" w:sz="6" w:space="0" w:color="333333"/>
          <w:insideV w:val="single" w:sz="8" w:space="0" w:color="auto"/>
        </w:tblBorders>
        <w:tblLayout w:type="fixed"/>
        <w:tblCellMar>
          <w:left w:w="0" w:type="dxa"/>
          <w:right w:w="0" w:type="dxa"/>
        </w:tblCellMar>
        <w:tblLook w:val="04A0" w:firstRow="1" w:lastRow="0" w:firstColumn="1" w:lastColumn="0" w:noHBand="0" w:noVBand="1"/>
      </w:tblPr>
      <w:tblGrid>
        <w:gridCol w:w="418"/>
        <w:gridCol w:w="1136"/>
        <w:gridCol w:w="1556"/>
        <w:gridCol w:w="1582"/>
        <w:gridCol w:w="1692"/>
        <w:gridCol w:w="1401"/>
        <w:gridCol w:w="836"/>
        <w:gridCol w:w="880"/>
        <w:gridCol w:w="3043"/>
        <w:gridCol w:w="366"/>
        <w:gridCol w:w="375"/>
        <w:gridCol w:w="366"/>
        <w:gridCol w:w="375"/>
        <w:gridCol w:w="366"/>
        <w:gridCol w:w="479"/>
      </w:tblGrid>
      <w:tr w:rsidR="00F16443" w:rsidRPr="00F16443" w:rsidTr="00237FB6">
        <w:trPr>
          <w:trHeight w:val="1264"/>
        </w:trPr>
        <w:tc>
          <w:tcPr>
            <w:tcW w:w="5000" w:type="pct"/>
            <w:gridSpan w:val="15"/>
            <w:noWrap/>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黑体" w:eastAsia="黑体" w:hAnsi="黑体" w:cs="宋体" w:hint="eastAsia"/>
                <w:color w:val="000000"/>
                <w:kern w:val="0"/>
                <w:sz w:val="32"/>
                <w:szCs w:val="32"/>
              </w:rPr>
              <w:t>附件</w:t>
            </w:r>
          </w:p>
          <w:p w:rsidR="00F16443" w:rsidRPr="00F16443" w:rsidRDefault="00F16443" w:rsidP="00F16443">
            <w:pPr>
              <w:widowControl/>
              <w:jc w:val="center"/>
              <w:rPr>
                <w:rFonts w:ascii="Calibri" w:eastAsia="宋体" w:hAnsi="Calibri" w:cs="宋体"/>
                <w:kern w:val="0"/>
                <w:szCs w:val="21"/>
              </w:rPr>
            </w:pPr>
            <w:bookmarkStart w:id="0" w:name="_GoBack"/>
            <w:r w:rsidRPr="00F16443">
              <w:rPr>
                <w:rFonts w:ascii="方正小标宋简体" w:eastAsia="方正小标宋简体" w:hAnsi="Calibri" w:cs="宋体" w:hint="eastAsia"/>
                <w:color w:val="000000"/>
                <w:kern w:val="0"/>
                <w:sz w:val="44"/>
                <w:szCs w:val="44"/>
              </w:rPr>
              <w:t>安徽省广播电视基层政务公开标准指引</w:t>
            </w:r>
            <w:bookmarkEnd w:id="0"/>
          </w:p>
        </w:tc>
      </w:tr>
      <w:tr w:rsidR="00F16443" w:rsidRPr="00F16443" w:rsidTr="00237FB6">
        <w:trPr>
          <w:trHeight w:val="439"/>
        </w:trPr>
        <w:tc>
          <w:tcPr>
            <w:tcW w:w="5000" w:type="pct"/>
            <w:gridSpan w:val="15"/>
            <w:noWrap/>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楷体" w:eastAsia="楷体" w:hAnsi="楷体" w:cs="宋体" w:hint="eastAsia"/>
                <w:color w:val="000000"/>
                <w:kern w:val="0"/>
                <w:sz w:val="28"/>
                <w:szCs w:val="28"/>
              </w:rPr>
              <w:t>编制单位：安徽省广播电视局</w:t>
            </w:r>
          </w:p>
        </w:tc>
      </w:tr>
      <w:tr w:rsidR="00237FB6" w:rsidRPr="00F16443" w:rsidTr="00237FB6">
        <w:trPr>
          <w:trHeight w:val="270"/>
        </w:trPr>
        <w:tc>
          <w:tcPr>
            <w:tcW w:w="141"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序号</w:t>
            </w:r>
          </w:p>
        </w:tc>
        <w:tc>
          <w:tcPr>
            <w:tcW w:w="382"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公开领域</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（编码）</w:t>
            </w:r>
          </w:p>
        </w:tc>
        <w:tc>
          <w:tcPr>
            <w:tcW w:w="1055" w:type="pct"/>
            <w:gridSpan w:val="2"/>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公开事项</w:t>
            </w:r>
          </w:p>
        </w:tc>
        <w:tc>
          <w:tcPr>
            <w:tcW w:w="569"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公开内容</w:t>
            </w:r>
            <w:r w:rsidRPr="00F16443">
              <w:rPr>
                <w:rFonts w:ascii="黑体" w:eastAsia="黑体" w:hAnsi="黑体" w:cs="宋体" w:hint="eastAsia"/>
                <w:color w:val="000000"/>
                <w:kern w:val="0"/>
                <w:sz w:val="20"/>
                <w:szCs w:val="20"/>
              </w:rPr>
              <w:br/>
              <w:t>（要素）</w:t>
            </w:r>
            <w:r w:rsidRPr="00F16443">
              <w:rPr>
                <w:rFonts w:ascii="Calibri" w:eastAsia="黑体" w:hAnsi="Calibri" w:cs="Calibri"/>
                <w:color w:val="000000"/>
                <w:kern w:val="0"/>
                <w:sz w:val="20"/>
                <w:szCs w:val="20"/>
              </w:rPr>
              <w:t>    </w:t>
            </w:r>
          </w:p>
        </w:tc>
        <w:tc>
          <w:tcPr>
            <w:tcW w:w="471"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w:t>
            </w:r>
            <w:r w:rsidRPr="00F16443">
              <w:rPr>
                <w:rFonts w:ascii="黑体" w:eastAsia="黑体" w:hAnsi="黑体" w:cs="宋体" w:hint="eastAsia"/>
                <w:color w:val="000000"/>
                <w:kern w:val="0"/>
                <w:sz w:val="20"/>
                <w:szCs w:val="20"/>
              </w:rPr>
              <w:br/>
              <w:t>依据</w:t>
            </w:r>
          </w:p>
        </w:tc>
        <w:tc>
          <w:tcPr>
            <w:tcW w:w="281"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w:t>
            </w:r>
            <w:r w:rsidRPr="00F16443">
              <w:rPr>
                <w:rFonts w:ascii="黑体" w:eastAsia="黑体" w:hAnsi="黑体" w:cs="宋体" w:hint="eastAsia"/>
                <w:color w:val="000000"/>
                <w:kern w:val="0"/>
                <w:sz w:val="20"/>
                <w:szCs w:val="20"/>
              </w:rPr>
              <w:br/>
              <w:t>时限</w:t>
            </w:r>
          </w:p>
        </w:tc>
        <w:tc>
          <w:tcPr>
            <w:tcW w:w="296"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w:t>
            </w:r>
            <w:r w:rsidRPr="00F16443">
              <w:rPr>
                <w:rFonts w:ascii="黑体" w:eastAsia="黑体" w:hAnsi="黑体" w:cs="宋体" w:hint="eastAsia"/>
                <w:color w:val="000000"/>
                <w:kern w:val="0"/>
                <w:sz w:val="20"/>
                <w:szCs w:val="20"/>
              </w:rPr>
              <w:br/>
              <w:t>主体</w:t>
            </w:r>
          </w:p>
        </w:tc>
        <w:tc>
          <w:tcPr>
            <w:tcW w:w="1023"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公开渠道和载体</w:t>
            </w:r>
          </w:p>
        </w:tc>
        <w:tc>
          <w:tcPr>
            <w:tcW w:w="249" w:type="pct"/>
            <w:gridSpan w:val="2"/>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公开对象</w:t>
            </w:r>
          </w:p>
        </w:tc>
        <w:tc>
          <w:tcPr>
            <w:tcW w:w="249" w:type="pct"/>
            <w:gridSpan w:val="2"/>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公开方式</w:t>
            </w:r>
          </w:p>
        </w:tc>
        <w:tc>
          <w:tcPr>
            <w:tcW w:w="284" w:type="pct"/>
            <w:gridSpan w:val="2"/>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公开层级</w:t>
            </w:r>
          </w:p>
        </w:tc>
      </w:tr>
      <w:tr w:rsidR="00237FB6" w:rsidRPr="00F16443" w:rsidTr="00237FB6">
        <w:trPr>
          <w:trHeight w:val="480"/>
        </w:trPr>
        <w:tc>
          <w:tcPr>
            <w:tcW w:w="141"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一级事项</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（编码）</w:t>
            </w:r>
          </w:p>
        </w:tc>
        <w:tc>
          <w:tcPr>
            <w:tcW w:w="532"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二级事项</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（编码）</w:t>
            </w:r>
          </w:p>
        </w:tc>
        <w:tc>
          <w:tcPr>
            <w:tcW w:w="569"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471"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281"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296"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10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全</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社会</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特定</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群体</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主动</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依</w:t>
            </w:r>
          </w:p>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申请</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县级</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黑体" w:eastAsia="黑体" w:hAnsi="黑体" w:cs="宋体" w:hint="eastAsia"/>
                <w:color w:val="000000"/>
                <w:kern w:val="0"/>
                <w:sz w:val="20"/>
                <w:szCs w:val="20"/>
              </w:rPr>
              <w:t>乡、村级</w:t>
            </w:r>
          </w:p>
        </w:tc>
      </w:tr>
      <w:tr w:rsidR="00237FB6" w:rsidRPr="00F16443" w:rsidTr="00237FB6">
        <w:trPr>
          <w:trHeight w:val="2712"/>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w:t>
            </w:r>
          </w:p>
        </w:tc>
        <w:tc>
          <w:tcPr>
            <w:tcW w:w="382"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广播电视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130000000</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tc>
        <w:tc>
          <w:tcPr>
            <w:tcW w:w="523"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政策法规文件</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130001000</w:t>
            </w:r>
          </w:p>
        </w:tc>
        <w:tc>
          <w:tcPr>
            <w:tcW w:w="532"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法律、行政法规、部门规章</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130001001</w:t>
            </w:r>
          </w:p>
        </w:tc>
        <w:tc>
          <w:tcPr>
            <w:tcW w:w="569"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1.有关广播电视和网络视听的法律</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2.有关广播电视和网络视听的行政法规</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3.有关广播电视和网络视听的部门规章</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《中华人民共和国政府信息公开条例》（国务院令第711号）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p>
          <w:p w:rsidR="00237FB6" w:rsidRDefault="00F16443" w:rsidP="00237FB6">
            <w:pPr>
              <w:widowControl/>
              <w:jc w:val="left"/>
              <w:rPr>
                <w:rFonts w:ascii="Calibri" w:eastAsia="仿宋" w:hAnsi="Calibri" w:cs="Calibri"/>
                <w:color w:val="000000"/>
                <w:kern w:val="0"/>
                <w:sz w:val="20"/>
                <w:szCs w:val="20"/>
              </w:rPr>
            </w:pPr>
            <w:r w:rsidRPr="00F16443">
              <w:rPr>
                <w:rFonts w:ascii="仿宋" w:eastAsia="仿宋" w:hAnsi="仿宋" w:cs="宋体" w:hint="eastAsia"/>
                <w:color w:val="000000"/>
                <w:kern w:val="0"/>
                <w:sz w:val="20"/>
                <w:szCs w:val="20"/>
              </w:rP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p>
          <w:p w:rsidR="00F16443" w:rsidRPr="00F16443" w:rsidRDefault="00F16443" w:rsidP="00237FB6">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2866"/>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规范性文件</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130001002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各级广播电视行政管理部门涉及广播电视和网络视听领域的规范性文件</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《中华人民共和国政府信息公开条例》（国务院令第711号）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237FB6" w:rsidRDefault="00F16443" w:rsidP="00237FB6">
            <w:pPr>
              <w:widowControl/>
              <w:jc w:val="left"/>
              <w:rPr>
                <w:rFonts w:ascii="Calibri" w:eastAsia="仿宋" w:hAnsi="Calibri" w:cs="Calibri"/>
                <w:color w:val="000000"/>
                <w:kern w:val="0"/>
                <w:sz w:val="20"/>
                <w:szCs w:val="20"/>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p>
          <w:p w:rsidR="00F16443" w:rsidRPr="00F16443" w:rsidRDefault="00F16443" w:rsidP="00237FB6">
            <w:pPr>
              <w:widowControl/>
              <w:jc w:val="left"/>
              <w:rPr>
                <w:rFonts w:ascii="Calibri" w:eastAsia="宋体" w:hAnsi="Calibri" w:cs="宋体"/>
                <w:kern w:val="0"/>
                <w:szCs w:val="21"/>
              </w:rPr>
            </w:pP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541"/>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行政审批</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130002000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行政审批</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130002000</w:t>
            </w: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乡镇设立广播电视站和机关、部队、团体、企业事业单位设立有线广播电视站审批</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130002001</w:t>
            </w:r>
          </w:p>
        </w:tc>
        <w:tc>
          <w:tcPr>
            <w:tcW w:w="569" w:type="pct"/>
            <w:noWrap/>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2.审批结果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2.《广播电视站审批管理暂行规定》（国家广播电影电视总局令第32号）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237FB6" w:rsidRDefault="00F16443" w:rsidP="00237FB6">
            <w:pPr>
              <w:widowControl/>
              <w:jc w:val="left"/>
              <w:rPr>
                <w:rFonts w:ascii="Calibri" w:eastAsia="仿宋" w:hAnsi="Calibri" w:cs="Calibri"/>
                <w:color w:val="000000"/>
                <w:kern w:val="0"/>
                <w:sz w:val="20"/>
                <w:szCs w:val="20"/>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p>
          <w:p w:rsidR="00F16443" w:rsidRPr="00F16443" w:rsidRDefault="00F16443" w:rsidP="00237FB6">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247"/>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有线广播电视传输覆盖网工程验收审核</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130002002</w:t>
            </w:r>
          </w:p>
        </w:tc>
        <w:tc>
          <w:tcPr>
            <w:tcW w:w="569" w:type="pct"/>
            <w:noWrap/>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2.审核结果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237FB6" w:rsidRDefault="00F16443" w:rsidP="00237FB6">
            <w:pPr>
              <w:widowControl/>
              <w:jc w:val="left"/>
              <w:rPr>
                <w:rFonts w:ascii="Calibri" w:eastAsia="仿宋" w:hAnsi="Calibri" w:cs="Calibri"/>
                <w:color w:val="000000"/>
                <w:kern w:val="0"/>
                <w:sz w:val="20"/>
                <w:szCs w:val="20"/>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p>
          <w:p w:rsidR="00F16443" w:rsidRPr="00F16443" w:rsidRDefault="00F16443" w:rsidP="00237FB6">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卫星电视广播地面接收设施安装服务许可</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130002003</w:t>
            </w:r>
          </w:p>
        </w:tc>
        <w:tc>
          <w:tcPr>
            <w:tcW w:w="569" w:type="pct"/>
            <w:noWrap/>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2.许可结果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1.《卫星电视广播地面接收设施管理规定》（国务院令第129号）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2.《卫星电视广播地面接收设施安装服务暂行办法》（国家广播电影电视总局令第60号）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3.《广电总局关于设立卫星地面接收设施安装服务机构审批事项的通知》（广发〔2010〕24号）</w:t>
            </w:r>
            <w:r w:rsidRPr="00F16443">
              <w:rPr>
                <w:rFonts w:ascii="宋体" w:eastAsia="宋体" w:hAnsi="宋体" w:cs="宋体" w:hint="eastAsia"/>
                <w:color w:val="000000"/>
                <w:kern w:val="0"/>
                <w:sz w:val="20"/>
                <w:szCs w:val="20"/>
              </w:rPr>
              <w:t> </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设置卫星电视广播地面接收设施审批</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130002004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2.审批结果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2.《卫星电视广播地面接收设施管理规定》（国务院令第129号）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3.《〈卫星电视广播地面接收设施管理规定〉实施细则》（国家广播电影电视部令第11号）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restar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lastRenderedPageBreak/>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行政处罚</w:t>
            </w:r>
          </w:p>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130003000</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p w:rsidR="00F16443" w:rsidRPr="00F16443" w:rsidRDefault="00F16443" w:rsidP="00F16443">
            <w:pPr>
              <w:widowControl/>
              <w:jc w:val="center"/>
              <w:rPr>
                <w:rFonts w:ascii="Calibri" w:eastAsia="宋体" w:hAnsi="Calibri" w:cs="宋体"/>
                <w:kern w:val="0"/>
                <w:szCs w:val="21"/>
              </w:rPr>
            </w:pPr>
            <w:r w:rsidRPr="00F16443">
              <w:rPr>
                <w:rFonts w:ascii="Calibri" w:eastAsia="仿宋" w:hAnsi="Calibri" w:cs="Calibri"/>
                <w:color w:val="000000"/>
                <w:kern w:val="0"/>
                <w:sz w:val="20"/>
                <w:szCs w:val="20"/>
              </w:rPr>
              <w:t> </w:t>
            </w: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对擅自设立广播电台、电视台、教育电视台、有线广播电视传输覆盖网、广播电视站的处罚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对擅自设立广播电视发射台、转播台、微波站、卫星上行站的处罚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对擅自设立广播电视节目制作经营单位的处罚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 xml:space="preserve"> </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对擅自制作、发行、播出电视剧或者擅自制作其他广播电视节目的处罚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2.《电视剧内容管理规定》（国家广播电影电视总局令第63号）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对制作、发行、播放、向境外提供含有禁止内容的节目的处罚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2.《电视剧内容管理规定》（国家广播电影电视总局令第63号）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对擅自变更台名、台标、节目设置范围或者节目套数的处罚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130003006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对出租、转让播出时段的处罚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对违规转播、播放广播电视节目的处罚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130003008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对违反引进动画片播出比例或播出广告时间超过未成年人节目管理规定的处罚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130003009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2.《未成年人节目管理规定》(国家广播电视总局令第3号)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3.《境外电视节目引进、播出管理规定》（国家广播电影电视总局令第42号）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对播放境外广播电视节目或者广告的时间超出规定的处罚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2.《境外电视节目引进、播出管理规定》（国家广播电影电视总局令第42号）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对播放未取得广播电视节目制作经营许可的单位制作的广播电视节目或者未取得电视剧制作许可的单位制作的电视剧的处罚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对违规发行和播出未经审查的中外合作制作电视剧（</w:t>
            </w:r>
            <w:proofErr w:type="gramStart"/>
            <w:r w:rsidRPr="00F16443">
              <w:rPr>
                <w:rFonts w:ascii="仿宋" w:eastAsia="仿宋" w:hAnsi="仿宋" w:cs="宋体" w:hint="eastAsia"/>
                <w:color w:val="000000"/>
                <w:kern w:val="0"/>
                <w:sz w:val="20"/>
                <w:szCs w:val="20"/>
              </w:rPr>
              <w:t>含电视</w:t>
            </w:r>
            <w:proofErr w:type="gramEnd"/>
            <w:r w:rsidRPr="00F16443">
              <w:rPr>
                <w:rFonts w:ascii="仿宋" w:eastAsia="仿宋" w:hAnsi="仿宋" w:cs="宋体" w:hint="eastAsia"/>
                <w:color w:val="000000"/>
                <w:kern w:val="0"/>
                <w:sz w:val="20"/>
                <w:szCs w:val="20"/>
              </w:rPr>
              <w:t>动画片）的处罚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2.《中外合作制作电视剧管理规定》（国家广播电影电视总局令第41号）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19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对违规从事中外合作制作电视剧的处罚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2.《中外合作制作电视剧管理规定》（国家广播电影电视总局令第41号）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对播放未经批准的境外电影、电视剧和其他广播电视节目的处罚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2.《境外电视节目引进、播出管理规定》（国家广播电影电视总局令第42号）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对教育电视台播放规定禁止播放的节目的处罚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对擅自举办广播电视节目交流、交易活动的处罚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130003016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对出租、转让频率、频段，擅自变更广播电视发射台、转播台技术参数的处罚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130003017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对广播电视发射台、转播台擅自播放自办节目、插播广告的处罚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130003018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对擅自利用卫星方式传输广播电视节目的处罚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130003019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 xml:space="preserve"> </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对擅自以卫星等传输方式进口、转播境外广播电视节目的处罚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130003020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2.《境外电视节目引进、播出管理规定》（国家广播电影电视总局令（第42号）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对擅自利用有线广播电视传输覆盖网播放节目的处罚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130003021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对擅自进行广播 电视传输覆盖网的工程选址、设计、施工、安装的处罚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 （国务院令第228号）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29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对侵占、干扰广播电视专用频率和擅自截传、干扰、解扰广播电视信号的处罚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对危害广播电台、电视台安全播出及破坏广播电视设施的处罚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2.《广播电视设施保护条例》（国务院令第295号）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对违反规定在广播电视设施保护范围内实施破坏或者威胁广播电视设施安全的行为的处罚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130003025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《广播电视设施保护条例》（国务院令第295号）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对已获得入网认定证书的生产企业实施违反有关生产、管理或服务规定行为的处罚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130003026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《广播电视设备器材入网认定管理办法》（国家广播电视总局令第1号）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对擅自安装和使用卫星地面接收设施的处罚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1.《卫星地面接收设施接收外国卫星传送电视节目管理办法》</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2.《卫星电视广播地面接收设施管理规定》（国务院令第129号）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3.《〈卫星电视广播地面接收设施管理规定〉实施细则》（国家广播电影电</w:t>
            </w:r>
            <w:r w:rsidRPr="00F16443">
              <w:rPr>
                <w:rFonts w:ascii="仿宋" w:eastAsia="仿宋" w:hAnsi="仿宋" w:cs="宋体" w:hint="eastAsia"/>
                <w:color w:val="000000"/>
                <w:kern w:val="0"/>
                <w:sz w:val="20"/>
                <w:szCs w:val="20"/>
              </w:rPr>
              <w:lastRenderedPageBreak/>
              <w:t>视部令第11号）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对未持有《许可证》而擅自设置卫星地面接收设施接收外国卫星传送的电视节目的处罚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1.《卫星地面接收设施接收外国卫星传送电视节目管理办法》</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2.《〈卫星电视广播地面接收设施管理规定〉实施细则》（国家广播电影电视部令第11号）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对擅自提供卫星地面接收设施安装服务的处罚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130003029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1.《〈卫星电视广播地面接收设施管理规定〉实施细则》（国家广播电影电视部令第11号）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2.《卫星电视广播地面接收设施安装服务暂行办法》（国家广播电影电视总局令第60号）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对卫星地面接收设施安装服务机构和卫星地面接收设施生产企业之间，违规存在利益关联的处罚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130003030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《卫星电视广播地面接收设施安装服务暂行办法》（国家广播电影电视总局令第60号）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对违规接收、使用、录制、传播外国卫星传送电视节目的处罚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1.《卫星地面接收设施接收外国卫星传送电视节目管理办法》</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2.《〈卫星电视广播地面接收设施管理规定〉实施细则》（国家广播电影电视部令第11号）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对擅自从事广播电视节目传送业务的处罚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《广播电视节目传送业务管理办法》 （国家广播电影电视总局令第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33</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39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对从事广播电视传送业务的机构实施有关违规行为的处罚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《广播电视节目传送业务管理办法》（国家广播电影电视总局令第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33</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■政府网站 </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对播出含有禁止内容的、禁止播出的广播电视广告的处罚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《广播电视广告播出管理办法》（国家广播电影电视总局令第61号）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对播放广告超时、违规插播广告的处罚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2.《广播电视广告播出管理办法》（国家广播电影电视总局令第61号）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对违规冠名、违规播出具有博彩性质广告、违规播出挂角广告、播出商业广告不尊重公众生活习惯、违规播出酒类商业广告的处罚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《广播电视管理条例》（国务院令第228号）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对违规开办有线电视台、电视站、使用有线电视设施以及违规开展有线电视播映活动的处罚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《有线电视管理暂行办法》（国家广播电影电视部令第2号）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对擅自开办视频点播业务的处罚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《广播电视视频点播业务管理办法》（国家广播电影电视总局令第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35</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对持有《广播电视视频点播业务许可证》的机构实施有关违规行为的处罚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130003039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《广播电视视频点播业务管理办法》（国家广播电影电视总局令第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35</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对宾馆饭店允许无证机构在其宾馆饭店内经营视频点播业务的处罚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《广播电视视频点播业务管理办法》（国家广播电影电视总局令第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35</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对擅自从事专网及定向传播视听节目服务的处罚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《专网及定向传播视听节目服务管理规定》（国家新闻出版广电总局令第6号）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对专网及定向传播视听节目服务单位传播违规节目内容的处罚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《专网及定向传播视听节目服务管理规定》（国家新闻出版广电总局令第6号）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49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对专网及定向传播视听节目服务单位实施的其他违规行为的处罚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《专网及定向传播视听节目服务管理规定》（国家新闻出版广电总局令第6号）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对擅自从事互联网视听节目服务的处罚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《互联网视听节目服务管理规定》（广电总局、信息产业部令第56号）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对互联网视听节目服务单位传播违规节目内容的处罚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《互联网视听节目服务管理规定》 （广电总局、信息产业部令第56号）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对互联网视听节目服务单位未按照许可证载明或备案的事项从事互联网视听节目服务的或违规播出时政类视听新闻节目的处罚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《互联网视听节目服务管理规定》 （广电总局、信息产业部令第56号）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对互联网视听节目服务单位转播、链接、聚合、集成非法的广播电视频道和视听节目网站内容的，擅自插播、截留视听节目信号的处罚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130003047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《互联网视听节目服务管理规定》 （广电总局、信息产业部令第56号）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对互联网视听节目服务单位实施违规经营和管理行为的处罚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130003048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《互联网视听节目服务管理规定》 （广电总局、信息产业部令第56号）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对制作、传播渲染暴力、血腥、恐怖，教唆犯罪或者传授犯罪方法的未成年人节目的处罚</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130003049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2.《未成年人节目管理规定》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(国家广播电视总局令第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对在以科普、教育、警示为目的制作未成年人节目中包含渲染暴力、血腥、恐怖，教唆犯罪或者传授犯罪方法，但未设置明确提醒进行技术处理的处罚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2.《未成年人节目管理规定》(国家广播电视总局令第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r w:rsidRPr="00F16443">
              <w:rPr>
                <w:rFonts w:ascii="Calibri" w:eastAsia="仿宋" w:hAnsi="Calibri" w:cs="Calibri"/>
                <w:color w:val="000000"/>
                <w:kern w:val="0"/>
                <w:sz w:val="20"/>
                <w:szCs w:val="20"/>
              </w:rPr>
              <w:t> </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对制作、传播利用未成年人或者未成年人角色进行商业宣传的非广告类节目的处罚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1.《广播电视管理条例》（国务院令第228号）</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2.《未成年人节目管理规定》(国家广播电视总局令第</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3</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58</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对机构和人员设置、技术系统配置、管理制度、运行流程、应急预案等不符合有关规定，导致播出质量达不到要求的处罚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130003052</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59</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对技术系统的代</w:t>
            </w:r>
            <w:proofErr w:type="gramStart"/>
            <w:r w:rsidRPr="00F16443">
              <w:rPr>
                <w:rFonts w:ascii="仿宋" w:eastAsia="仿宋" w:hAnsi="仿宋" w:cs="宋体" w:hint="eastAsia"/>
                <w:color w:val="000000"/>
                <w:kern w:val="0"/>
                <w:sz w:val="20"/>
                <w:szCs w:val="20"/>
              </w:rPr>
              <w:t>维单位</w:t>
            </w:r>
            <w:proofErr w:type="gramEnd"/>
            <w:r w:rsidRPr="00F16443">
              <w:rPr>
                <w:rFonts w:ascii="仿宋" w:eastAsia="仿宋" w:hAnsi="仿宋" w:cs="宋体" w:hint="eastAsia"/>
                <w:color w:val="000000"/>
                <w:kern w:val="0"/>
                <w:sz w:val="20"/>
                <w:szCs w:val="20"/>
              </w:rPr>
              <w:t>管理不力、引发重大安全播出事故的处罚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130003053</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60</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对安全播出责任单位之间责任界限不清晰、导致故障处置不及时的处罚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130003054</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61</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对节目播出、传送质量不好影响用户正常接收广播电视节目的处罚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130003055</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62</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对从事广播电视传输、分发、覆盖业务的安全播出责任单位未按照有关规定完整传输、分发必转的广播电视节目的处罚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130003056</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63</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对未按照规定向广播电视行政部门设立的监测监管、指挥调度机构提供完整节目信号、解密授权及相关信息，或者干扰、阻碍监测监管、指挥调度活动的处罚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130003057</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64</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对妨碍广播电视行政部门监督检查、事故调查，或者不服从安全播出统一调配的处罚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130003058</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65</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noWrap/>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对未按照规定记录、保存本单位播出、集成、传输、分发、发射的节目信号的质量和效果的处罚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130003059</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840"/>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66</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对未按照规定向广播电视行政部门备案安全保障方案或者应急预案的处罚</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130003060</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1.主体信息</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2.案由</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3.处罚依据</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4.处罚结果</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《广播电视安全播出管理规定》（国家广播电影电视总局令第62号）</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执法决定信息在决定</w:t>
            </w:r>
            <w:proofErr w:type="gramStart"/>
            <w:r w:rsidRPr="00F16443">
              <w:rPr>
                <w:rFonts w:ascii="仿宋" w:eastAsia="仿宋" w:hAnsi="仿宋" w:cs="宋体" w:hint="eastAsia"/>
                <w:color w:val="000000"/>
                <w:kern w:val="0"/>
                <w:sz w:val="20"/>
                <w:szCs w:val="20"/>
              </w:rPr>
              <w:t>作出</w:t>
            </w:r>
            <w:proofErr w:type="gramEnd"/>
            <w:r w:rsidRPr="00F16443">
              <w:rPr>
                <w:rFonts w:ascii="仿宋" w:eastAsia="仿宋" w:hAnsi="仿宋" w:cs="宋体" w:hint="eastAsia"/>
                <w:color w:val="000000"/>
                <w:kern w:val="0"/>
                <w:sz w:val="20"/>
                <w:szCs w:val="20"/>
              </w:rPr>
              <w:t>之日起7个工作日内公开，其他相关信息形成或变更之日起20个工作日内公开</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r w:rsidR="00237FB6" w:rsidRPr="00F16443" w:rsidTr="00237FB6">
        <w:trPr>
          <w:trHeight w:val="3102"/>
        </w:trPr>
        <w:tc>
          <w:tcPr>
            <w:tcW w:w="14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lastRenderedPageBreak/>
              <w:t>67</w:t>
            </w:r>
          </w:p>
        </w:tc>
        <w:tc>
          <w:tcPr>
            <w:tcW w:w="382" w:type="pct"/>
            <w:vMerge/>
            <w:vAlign w:val="center"/>
            <w:hideMark/>
          </w:tcPr>
          <w:p w:rsidR="00F16443" w:rsidRPr="00F16443" w:rsidRDefault="00F16443" w:rsidP="00F16443">
            <w:pPr>
              <w:widowControl/>
              <w:jc w:val="left"/>
              <w:rPr>
                <w:rFonts w:ascii="Calibri" w:eastAsia="宋体" w:hAnsi="Calibri" w:cs="宋体"/>
                <w:kern w:val="0"/>
                <w:szCs w:val="21"/>
              </w:rPr>
            </w:pPr>
          </w:p>
        </w:tc>
        <w:tc>
          <w:tcPr>
            <w:tcW w:w="523" w:type="pct"/>
            <w:noWrap/>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公共服务</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130004000</w:t>
            </w:r>
          </w:p>
        </w:tc>
        <w:tc>
          <w:tcPr>
            <w:tcW w:w="532"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广播电视基本公共服务标准</w:t>
            </w:r>
          </w:p>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130004001</w:t>
            </w:r>
          </w:p>
        </w:tc>
        <w:tc>
          <w:tcPr>
            <w:tcW w:w="569"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1.国家基本公共服务标准</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2.地方具体实施配套标准</w:t>
            </w:r>
          </w:p>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3.市县标准化目录</w:t>
            </w:r>
          </w:p>
        </w:tc>
        <w:tc>
          <w:tcPr>
            <w:tcW w:w="47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《关于印发〈国家基本公共服务标准（2021</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年版）〉的通知》</w:t>
            </w:r>
          </w:p>
        </w:tc>
        <w:tc>
          <w:tcPr>
            <w:tcW w:w="281"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信息形成或变更之日起20个工作日内</w:t>
            </w:r>
          </w:p>
        </w:tc>
        <w:tc>
          <w:tcPr>
            <w:tcW w:w="296" w:type="pct"/>
            <w:tcMar>
              <w:top w:w="0" w:type="dxa"/>
              <w:left w:w="108" w:type="dxa"/>
              <w:bottom w:w="0" w:type="dxa"/>
              <w:right w:w="108" w:type="dxa"/>
            </w:tcMar>
            <w:vAlign w:val="center"/>
            <w:hideMark/>
          </w:tcPr>
          <w:p w:rsidR="00F16443" w:rsidRPr="00F16443" w:rsidRDefault="00F16443" w:rsidP="00F16443">
            <w:pPr>
              <w:widowControl/>
              <w:rPr>
                <w:rFonts w:ascii="Calibri" w:eastAsia="宋体" w:hAnsi="Calibri" w:cs="宋体"/>
                <w:kern w:val="0"/>
                <w:szCs w:val="21"/>
              </w:rPr>
            </w:pPr>
            <w:r w:rsidRPr="00F16443">
              <w:rPr>
                <w:rFonts w:ascii="仿宋" w:eastAsia="仿宋" w:hAnsi="仿宋" w:cs="宋体" w:hint="eastAsia"/>
                <w:color w:val="000000"/>
                <w:kern w:val="0"/>
                <w:sz w:val="20"/>
                <w:szCs w:val="20"/>
              </w:rPr>
              <w:t>县级广播电视行政部门</w:t>
            </w:r>
          </w:p>
        </w:tc>
        <w:tc>
          <w:tcPr>
            <w:tcW w:w="1023" w:type="pct"/>
            <w:tcMar>
              <w:top w:w="0" w:type="dxa"/>
              <w:left w:w="108" w:type="dxa"/>
              <w:bottom w:w="0" w:type="dxa"/>
              <w:right w:w="108" w:type="dxa"/>
            </w:tcMar>
            <w:vAlign w:val="center"/>
            <w:hideMark/>
          </w:tcPr>
          <w:p w:rsidR="00F16443" w:rsidRPr="00F16443" w:rsidRDefault="00F16443" w:rsidP="00F16443">
            <w:pPr>
              <w:widowControl/>
              <w:jc w:val="left"/>
              <w:rPr>
                <w:rFonts w:ascii="Calibri" w:eastAsia="宋体" w:hAnsi="Calibri" w:cs="宋体"/>
                <w:kern w:val="0"/>
                <w:szCs w:val="21"/>
              </w:rPr>
            </w:pPr>
            <w:r w:rsidRPr="00F16443">
              <w:rPr>
                <w:rFonts w:ascii="仿宋" w:eastAsia="仿宋" w:hAnsi="仿宋" w:cs="宋体" w:hint="eastAsia"/>
                <w:color w:val="000000"/>
                <w:kern w:val="0"/>
                <w:sz w:val="20"/>
                <w:szCs w:val="20"/>
              </w:rPr>
              <w:t>■政府网站</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□政府公报</w:t>
            </w:r>
            <w:r w:rsidRPr="00F16443">
              <w:rPr>
                <w:rFonts w:ascii="仿宋" w:eastAsia="仿宋" w:hAnsi="仿宋" w:cs="宋体" w:hint="eastAsia"/>
                <w:color w:val="000000"/>
                <w:kern w:val="0"/>
                <w:sz w:val="20"/>
                <w:szCs w:val="20"/>
              </w:rPr>
              <w:br/>
              <w:t>□两微一端</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□发布会/听证会</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br/>
              <w:t>□广播电视</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□纸质媒体</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□公开查阅点/政务公开专区</w:t>
            </w:r>
            <w:r w:rsidRPr="00F16443">
              <w:rPr>
                <w:rFonts w:ascii="仿宋" w:eastAsia="仿宋" w:hAnsi="仿宋" w:cs="宋体" w:hint="eastAsia"/>
                <w:color w:val="000000"/>
                <w:kern w:val="0"/>
                <w:sz w:val="20"/>
                <w:szCs w:val="20"/>
              </w:rPr>
              <w:br/>
              <w:t>□政务服务中心</w:t>
            </w:r>
            <w:r w:rsidRPr="00F16443">
              <w:rPr>
                <w:rFonts w:ascii="仿宋" w:eastAsia="仿宋" w:hAnsi="仿宋" w:cs="宋体" w:hint="eastAsia"/>
                <w:color w:val="000000"/>
                <w:kern w:val="0"/>
                <w:sz w:val="20"/>
                <w:szCs w:val="20"/>
              </w:rPr>
              <w:br/>
              <w:t>□便民服务站 □入户/现场</w:t>
            </w:r>
            <w:r w:rsidRPr="00F16443">
              <w:rPr>
                <w:rFonts w:ascii="仿宋" w:eastAsia="仿宋" w:hAnsi="仿宋" w:cs="宋体" w:hint="eastAsia"/>
                <w:color w:val="000000"/>
                <w:kern w:val="0"/>
                <w:sz w:val="20"/>
                <w:szCs w:val="20"/>
              </w:rPr>
              <w:br/>
              <w:t>□社区/企事业单位/村公示栏（电子屏）</w:t>
            </w:r>
            <w:r w:rsidRPr="00F16443">
              <w:rPr>
                <w:rFonts w:ascii="仿宋" w:eastAsia="仿宋" w:hAnsi="仿宋" w:cs="宋体" w:hint="eastAsia"/>
                <w:color w:val="000000"/>
                <w:kern w:val="0"/>
                <w:sz w:val="20"/>
                <w:szCs w:val="20"/>
              </w:rPr>
              <w:br/>
              <w:t>□精准推送</w:t>
            </w:r>
            <w:r w:rsidRPr="00F16443">
              <w:rPr>
                <w:rFonts w:ascii="Calibri" w:eastAsia="仿宋" w:hAnsi="Calibri" w:cs="Calibri"/>
                <w:color w:val="000000"/>
                <w:kern w:val="0"/>
                <w:sz w:val="20"/>
                <w:szCs w:val="20"/>
              </w:rPr>
              <w:t>  </w:t>
            </w:r>
            <w:r w:rsidRPr="00F16443">
              <w:rPr>
                <w:rFonts w:ascii="仿宋" w:eastAsia="仿宋" w:hAnsi="仿宋" w:cs="宋体" w:hint="eastAsia"/>
                <w:color w:val="000000"/>
                <w:kern w:val="0"/>
                <w:sz w:val="20"/>
                <w:szCs w:val="20"/>
              </w:rPr>
              <w:t>□其他____</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26"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c>
          <w:tcPr>
            <w:tcW w:w="123"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w:t>
            </w:r>
          </w:p>
        </w:tc>
        <w:tc>
          <w:tcPr>
            <w:tcW w:w="161" w:type="pct"/>
            <w:tcMar>
              <w:top w:w="0" w:type="dxa"/>
              <w:left w:w="108" w:type="dxa"/>
              <w:bottom w:w="0" w:type="dxa"/>
              <w:right w:w="108" w:type="dxa"/>
            </w:tcMar>
            <w:vAlign w:val="center"/>
            <w:hideMark/>
          </w:tcPr>
          <w:p w:rsidR="00F16443" w:rsidRPr="00F16443" w:rsidRDefault="00F16443" w:rsidP="00F16443">
            <w:pPr>
              <w:widowControl/>
              <w:jc w:val="center"/>
              <w:rPr>
                <w:rFonts w:ascii="Calibri" w:eastAsia="宋体" w:hAnsi="Calibri" w:cs="宋体"/>
                <w:kern w:val="0"/>
                <w:szCs w:val="21"/>
              </w:rPr>
            </w:pPr>
            <w:r w:rsidRPr="00F16443">
              <w:rPr>
                <w:rFonts w:ascii="仿宋" w:eastAsia="仿宋" w:hAnsi="仿宋" w:cs="宋体" w:hint="eastAsia"/>
                <w:color w:val="000000"/>
                <w:kern w:val="0"/>
                <w:sz w:val="20"/>
                <w:szCs w:val="20"/>
              </w:rPr>
              <w:t xml:space="preserve">　</w:t>
            </w:r>
          </w:p>
        </w:tc>
      </w:tr>
    </w:tbl>
    <w:p w:rsidR="00F16443" w:rsidRPr="00F16443" w:rsidRDefault="00F16443" w:rsidP="00F16443">
      <w:pPr>
        <w:widowControl/>
        <w:shd w:val="clear" w:color="auto" w:fill="FFFFFF"/>
        <w:rPr>
          <w:rFonts w:ascii="Calibri" w:eastAsia="微软雅黑" w:hAnsi="Calibri" w:cs="宋体"/>
          <w:color w:val="333333"/>
          <w:kern w:val="0"/>
          <w:szCs w:val="21"/>
        </w:rPr>
      </w:pPr>
      <w:r w:rsidRPr="00F16443">
        <w:rPr>
          <w:rFonts w:ascii="Calibri" w:eastAsia="仿宋" w:hAnsi="Calibri" w:cs="Calibri"/>
          <w:color w:val="333333"/>
          <w:kern w:val="0"/>
          <w:sz w:val="20"/>
          <w:szCs w:val="20"/>
        </w:rPr>
        <w:lastRenderedPageBreak/>
        <w:t> </w:t>
      </w:r>
    </w:p>
    <w:p w:rsidR="00F16443" w:rsidRPr="00F16443" w:rsidRDefault="00F16443" w:rsidP="00F16443">
      <w:pPr>
        <w:widowControl/>
        <w:shd w:val="clear" w:color="auto" w:fill="FFFFFF"/>
        <w:rPr>
          <w:rFonts w:ascii="Calibri" w:eastAsia="微软雅黑" w:hAnsi="Calibri" w:cs="宋体"/>
          <w:color w:val="333333"/>
          <w:kern w:val="0"/>
          <w:szCs w:val="21"/>
        </w:rPr>
      </w:pPr>
      <w:r w:rsidRPr="00F16443">
        <w:rPr>
          <w:rFonts w:ascii="Calibri" w:eastAsia="微软雅黑" w:hAnsi="Calibri" w:cs="宋体"/>
          <w:color w:val="333333"/>
          <w:kern w:val="0"/>
          <w:szCs w:val="21"/>
        </w:rPr>
        <w:t> </w:t>
      </w:r>
    </w:p>
    <w:p w:rsidR="007E0F88" w:rsidRPr="00F16443" w:rsidRDefault="007E0F88"/>
    <w:sectPr w:rsidR="007E0F88" w:rsidRPr="00F16443" w:rsidSect="00237FB6">
      <w:pgSz w:w="16838" w:h="11906" w:orient="landscape"/>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43"/>
    <w:rsid w:val="00237FB6"/>
    <w:rsid w:val="007E0F88"/>
    <w:rsid w:val="00F1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0BD2"/>
  <w15:chartTrackingRefBased/>
  <w15:docId w15:val="{D17FAD43-6633-46D0-B417-D90B1551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16443"/>
  </w:style>
  <w:style w:type="paragraph" w:customStyle="1" w:styleId="msonormal0">
    <w:name w:val="msonormal"/>
    <w:basedOn w:val="a"/>
    <w:rsid w:val="00F1644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164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052">
      <w:bodyDiv w:val="1"/>
      <w:marLeft w:val="0"/>
      <w:marRight w:val="0"/>
      <w:marTop w:val="0"/>
      <w:marBottom w:val="0"/>
      <w:divBdr>
        <w:top w:val="none" w:sz="0" w:space="0" w:color="auto"/>
        <w:left w:val="none" w:sz="0" w:space="0" w:color="auto"/>
        <w:bottom w:val="none" w:sz="0" w:space="0" w:color="auto"/>
        <w:right w:val="none" w:sz="0" w:space="0" w:color="auto"/>
      </w:divBdr>
    </w:div>
    <w:div w:id="12090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35</Pages>
  <Words>3771</Words>
  <Characters>21499</Characters>
  <Application>Microsoft Office Word</Application>
  <DocSecurity>0</DocSecurity>
  <Lines>179</Lines>
  <Paragraphs>50</Paragraphs>
  <ScaleCrop>false</ScaleCrop>
  <Company>Organization</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2022-11-09T13:27:00Z</dcterms:created>
  <dcterms:modified xsi:type="dcterms:W3CDTF">2022-11-09T13:43:00Z</dcterms:modified>
</cp:coreProperties>
</file>